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303431" w:rsidRPr="0075325D" w14:paraId="70F653C4" w14:textId="77777777" w:rsidTr="00303431">
        <w:trPr>
          <w:trHeight w:val="4810"/>
        </w:trPr>
        <w:tc>
          <w:tcPr>
            <w:tcW w:w="4508" w:type="dxa"/>
          </w:tcPr>
          <w:p w14:paraId="59B52C5B" w14:textId="25E75FEA" w:rsidR="00303431" w:rsidRPr="0075325D" w:rsidRDefault="00303431" w:rsidP="0075325D">
            <w:pPr>
              <w:spacing w:after="0"/>
              <w:jc w:val="both"/>
              <w:rPr>
                <w:rFonts w:ascii="Verdana" w:hAnsi="Verdana" w:cs="Arial"/>
                <w:sz w:val="20"/>
                <w:szCs w:val="20"/>
                <w:lang w:val="sr-Latn-RS"/>
              </w:rPr>
            </w:pPr>
            <w:r w:rsidRPr="0075325D">
              <w:rPr>
                <w:rFonts w:ascii="Verdana" w:hAnsi="Verdana" w:cs="Arial"/>
                <w:sz w:val="20"/>
                <w:szCs w:val="20"/>
                <w:lang w:val="sr-Latn-RS"/>
              </w:rPr>
              <w:t>Na osnovu odredaba Zakona o privrednim društvima („Službeni glasnik Republike Srbije“, br. 36/2011, 99/2011, 83/2014 - dr. zakon, 5/2015, 44/2018, 95/2018 i 91/2019) (u daljem tekstu: „</w:t>
            </w:r>
            <w:r w:rsidRPr="0075325D">
              <w:rPr>
                <w:rFonts w:ascii="Verdana" w:hAnsi="Verdana" w:cs="Arial"/>
                <w:b/>
                <w:bCs/>
                <w:sz w:val="20"/>
                <w:szCs w:val="20"/>
                <w:lang w:val="sr-Latn-RS"/>
              </w:rPr>
              <w:t>Zakon</w:t>
            </w:r>
            <w:r w:rsidRPr="0075325D">
              <w:rPr>
                <w:rFonts w:ascii="Verdana" w:hAnsi="Verdana" w:cs="Arial"/>
                <w:sz w:val="20"/>
                <w:szCs w:val="20"/>
                <w:lang w:val="sr-Latn-RS"/>
              </w:rPr>
              <w:t xml:space="preserve">“) i Statuta </w:t>
            </w:r>
            <w:bookmarkStart w:id="0" w:name="_Hlk63370044"/>
            <w:r w:rsidRPr="0075325D">
              <w:rPr>
                <w:rFonts w:ascii="Verdana" w:hAnsi="Verdana" w:cs="Arial"/>
                <w:sz w:val="20"/>
                <w:szCs w:val="20"/>
                <w:lang w:val="sr-Latn-RS"/>
              </w:rPr>
              <w:t>PGP RAPID AD APATIN</w:t>
            </w:r>
            <w:bookmarkEnd w:id="0"/>
            <w:r w:rsidRPr="0075325D">
              <w:rPr>
                <w:rFonts w:ascii="Verdana" w:hAnsi="Verdana" w:cs="Arial"/>
                <w:sz w:val="20"/>
                <w:szCs w:val="20"/>
                <w:lang w:val="sr-Latn-RS"/>
              </w:rPr>
              <w:t>, sa registrovanim sedištem na adresi Industrijska zona bb, 25260 Apatin, Republika Srbija, matični broj: 08027714 (,,</w:t>
            </w:r>
            <w:r w:rsidRPr="0075325D">
              <w:rPr>
                <w:rFonts w:ascii="Verdana" w:hAnsi="Verdana" w:cs="Arial"/>
                <w:b/>
                <w:bCs/>
                <w:sz w:val="20"/>
                <w:szCs w:val="20"/>
                <w:lang w:val="sr-Latn-RS"/>
              </w:rPr>
              <w:t>Društvo’’</w:t>
            </w:r>
            <w:r w:rsidRPr="0075325D">
              <w:rPr>
                <w:rFonts w:ascii="Verdana" w:hAnsi="Verdana" w:cs="Arial"/>
                <w:sz w:val="20"/>
                <w:szCs w:val="20"/>
                <w:lang w:val="sr-Latn-RS"/>
              </w:rPr>
              <w:t>), s</w:t>
            </w:r>
            <w:r w:rsidRPr="0075325D">
              <w:rPr>
                <w:rFonts w:ascii="Verdana" w:hAnsi="Verdana"/>
                <w:sz w:val="20"/>
                <w:szCs w:val="20"/>
                <w:lang w:val="sr-Latn-RS"/>
              </w:rPr>
              <w:t>kupština akcionara Društva</w:t>
            </w:r>
            <w:r w:rsidRPr="0075325D">
              <w:rPr>
                <w:rFonts w:ascii="Verdana" w:hAnsi="Verdana" w:cs="Arial"/>
                <w:sz w:val="20"/>
                <w:szCs w:val="20"/>
                <w:lang w:val="sr-Latn-RS"/>
              </w:rPr>
              <w:t xml:space="preserve">, na redovnoj sednici održanoj dana </w:t>
            </w:r>
            <w:r w:rsidR="0079740F">
              <w:rPr>
                <w:rFonts w:ascii="Verdana" w:hAnsi="Verdana" w:cs="Arial"/>
                <w:sz w:val="20"/>
                <w:szCs w:val="20"/>
                <w:lang w:val="sr-Latn-RS"/>
              </w:rPr>
              <w:t>[</w:t>
            </w:r>
            <w:r w:rsidR="0079740F" w:rsidRPr="0079740F">
              <w:rPr>
                <w:rFonts w:ascii="Verdana" w:hAnsi="Verdana" w:cs="Arial"/>
                <w:sz w:val="20"/>
                <w:szCs w:val="20"/>
                <w:highlight w:val="cyan"/>
                <w:lang w:val="sr-Latn-RS"/>
              </w:rPr>
              <w:t>uneti</w:t>
            </w:r>
            <w:r w:rsidR="0079740F">
              <w:rPr>
                <w:rFonts w:ascii="Verdana" w:hAnsi="Verdana" w:cs="Arial"/>
                <w:sz w:val="20"/>
                <w:szCs w:val="20"/>
                <w:lang w:val="sr-Latn-RS"/>
              </w:rPr>
              <w:t>]</w:t>
            </w:r>
            <w:r w:rsidRPr="0075325D">
              <w:rPr>
                <w:rFonts w:ascii="Verdana" w:hAnsi="Verdana" w:cs="Arial"/>
                <w:sz w:val="20"/>
                <w:szCs w:val="20"/>
                <w:lang w:val="sr-Latn-RS"/>
              </w:rPr>
              <w:t>, donela je sledeću:</w:t>
            </w:r>
          </w:p>
          <w:p w14:paraId="16738497" w14:textId="77777777" w:rsidR="00303431" w:rsidRPr="0075325D" w:rsidRDefault="00303431" w:rsidP="0075325D">
            <w:pPr>
              <w:pStyle w:val="NoSpacing"/>
              <w:spacing w:line="276" w:lineRule="auto"/>
              <w:rPr>
                <w:rFonts w:ascii="Verdana" w:hAnsi="Verdana"/>
                <w:sz w:val="20"/>
                <w:szCs w:val="20"/>
                <w:lang w:val="sr-Latn-CS"/>
              </w:rPr>
            </w:pPr>
            <w:r w:rsidRPr="0075325D">
              <w:rPr>
                <w:rFonts w:ascii="Verdana" w:hAnsi="Verdana"/>
                <w:sz w:val="20"/>
                <w:szCs w:val="20"/>
                <w:lang w:val="sr-Latn-CS"/>
              </w:rPr>
              <w:t xml:space="preserve">        </w:t>
            </w:r>
          </w:p>
          <w:p w14:paraId="68B24D0D" w14:textId="77777777" w:rsidR="00303431" w:rsidRPr="0075325D" w:rsidRDefault="00303431" w:rsidP="0075325D">
            <w:pPr>
              <w:pStyle w:val="NoSpacing"/>
              <w:spacing w:line="276" w:lineRule="auto"/>
              <w:rPr>
                <w:rFonts w:ascii="Verdana" w:hAnsi="Verdana"/>
                <w:sz w:val="20"/>
                <w:szCs w:val="20"/>
                <w:lang w:val="sr-Latn-CS"/>
              </w:rPr>
            </w:pPr>
          </w:p>
          <w:p w14:paraId="1B42CE68" w14:textId="77777777" w:rsidR="00303431" w:rsidRPr="0075325D" w:rsidRDefault="00303431" w:rsidP="0075325D">
            <w:pPr>
              <w:pStyle w:val="NoSpacing"/>
              <w:spacing w:line="276" w:lineRule="auto"/>
              <w:rPr>
                <w:rFonts w:ascii="Verdana" w:hAnsi="Verdana"/>
                <w:sz w:val="20"/>
                <w:szCs w:val="20"/>
                <w:lang w:val="sr-Latn-CS"/>
              </w:rPr>
            </w:pPr>
          </w:p>
          <w:p w14:paraId="6CF527B9" w14:textId="77777777" w:rsidR="00303431" w:rsidRPr="0075325D" w:rsidRDefault="00303431" w:rsidP="0075325D">
            <w:pPr>
              <w:pStyle w:val="NoSpacing"/>
              <w:spacing w:line="276" w:lineRule="auto"/>
              <w:jc w:val="center"/>
              <w:rPr>
                <w:rFonts w:ascii="Verdana" w:hAnsi="Verdana"/>
                <w:sz w:val="20"/>
                <w:szCs w:val="20"/>
                <w:lang w:val="sr-Latn-CS"/>
              </w:rPr>
            </w:pPr>
            <w:r w:rsidRPr="0075325D">
              <w:rPr>
                <w:rFonts w:ascii="Verdana" w:hAnsi="Verdana"/>
                <w:b/>
                <w:sz w:val="20"/>
                <w:szCs w:val="20"/>
                <w:lang w:val="sr-Latn-CS"/>
              </w:rPr>
              <w:t>ODLUKU</w:t>
            </w:r>
          </w:p>
          <w:p w14:paraId="1401CA0A" w14:textId="77777777" w:rsidR="00303431" w:rsidRPr="0075325D" w:rsidRDefault="00303431" w:rsidP="0075325D">
            <w:pPr>
              <w:spacing w:after="0"/>
              <w:jc w:val="center"/>
              <w:rPr>
                <w:rFonts w:ascii="Verdana" w:hAnsi="Verdana"/>
                <w:b/>
                <w:sz w:val="20"/>
                <w:szCs w:val="20"/>
                <w:lang w:val="sr-Latn-CS"/>
              </w:rPr>
            </w:pPr>
            <w:r w:rsidRPr="0075325D">
              <w:rPr>
                <w:rFonts w:ascii="Verdana" w:hAnsi="Verdana"/>
                <w:b/>
                <w:sz w:val="20"/>
                <w:szCs w:val="20"/>
                <w:lang w:val="sr-Latn-CS"/>
              </w:rPr>
              <w:t xml:space="preserve">O POLITICI NAKNADA ČLANOVIMA NADZORNOG I IZVRŠNOG ODBORA </w:t>
            </w:r>
          </w:p>
          <w:p w14:paraId="23B08F6B" w14:textId="77777777" w:rsidR="00303431" w:rsidRPr="0075325D" w:rsidRDefault="00303431" w:rsidP="0075325D">
            <w:pPr>
              <w:spacing w:after="0"/>
              <w:jc w:val="both"/>
              <w:rPr>
                <w:rFonts w:ascii="Verdana" w:hAnsi="Verdana"/>
                <w:sz w:val="20"/>
                <w:szCs w:val="20"/>
                <w:lang w:val="sr-Latn-CS"/>
              </w:rPr>
            </w:pPr>
          </w:p>
          <w:p w14:paraId="477AAEAC" w14:textId="77777777" w:rsidR="00303431" w:rsidRPr="0075325D" w:rsidRDefault="00303431" w:rsidP="0075325D">
            <w:pPr>
              <w:spacing w:after="0"/>
              <w:jc w:val="both"/>
              <w:rPr>
                <w:rFonts w:ascii="Verdana" w:hAnsi="Verdana"/>
                <w:sz w:val="20"/>
                <w:szCs w:val="20"/>
                <w:lang w:val="sr-Latn-CS"/>
              </w:rPr>
            </w:pPr>
          </w:p>
          <w:p w14:paraId="488BDC2B" w14:textId="77777777" w:rsidR="00303431" w:rsidRPr="0075325D" w:rsidRDefault="00303431" w:rsidP="0075325D">
            <w:pPr>
              <w:pStyle w:val="ListParagraph"/>
              <w:numPr>
                <w:ilvl w:val="0"/>
                <w:numId w:val="2"/>
              </w:numPr>
              <w:spacing w:after="0"/>
              <w:ind w:left="459" w:hanging="283"/>
              <w:rPr>
                <w:rFonts w:ascii="Verdana" w:hAnsi="Verdana"/>
                <w:b/>
                <w:bCs/>
                <w:sz w:val="20"/>
                <w:szCs w:val="20"/>
                <w:lang w:val="sr-Latn-CS"/>
              </w:rPr>
            </w:pPr>
            <w:r w:rsidRPr="0075325D">
              <w:rPr>
                <w:rFonts w:ascii="Verdana" w:hAnsi="Verdana"/>
                <w:b/>
                <w:bCs/>
                <w:sz w:val="20"/>
                <w:szCs w:val="20"/>
                <w:lang w:val="sr-Latn-CS"/>
              </w:rPr>
              <w:t>UVOD</w:t>
            </w:r>
          </w:p>
          <w:p w14:paraId="388A35BD" w14:textId="77777777" w:rsidR="00303431" w:rsidRPr="0075325D" w:rsidRDefault="00303431" w:rsidP="0075325D">
            <w:pPr>
              <w:spacing w:after="0"/>
              <w:rPr>
                <w:rFonts w:ascii="Verdana" w:hAnsi="Verdana"/>
                <w:b/>
                <w:bCs/>
                <w:sz w:val="20"/>
                <w:szCs w:val="20"/>
                <w:lang w:val="sr-Latn-CS"/>
              </w:rPr>
            </w:pPr>
          </w:p>
          <w:p w14:paraId="293C5E84" w14:textId="77777777" w:rsidR="00303431" w:rsidRPr="0075325D" w:rsidRDefault="00303431" w:rsidP="0075325D">
            <w:pPr>
              <w:pStyle w:val="ListParagraph"/>
              <w:numPr>
                <w:ilvl w:val="1"/>
                <w:numId w:val="1"/>
              </w:numPr>
              <w:spacing w:after="0"/>
              <w:ind w:left="459" w:hanging="459"/>
              <w:jc w:val="both"/>
              <w:rPr>
                <w:rFonts w:ascii="Verdana" w:hAnsi="Verdana"/>
                <w:b/>
                <w:bCs/>
                <w:sz w:val="20"/>
                <w:szCs w:val="20"/>
                <w:lang w:val="pl-PL"/>
              </w:rPr>
            </w:pPr>
            <w:r w:rsidRPr="0075325D">
              <w:rPr>
                <w:rFonts w:ascii="Verdana" w:hAnsi="Verdana"/>
                <w:sz w:val="20"/>
                <w:szCs w:val="20"/>
                <w:lang w:val="pl-PL"/>
              </w:rPr>
              <w:t>Skupština utvrđuje politiku naknada članovima Nadzornog i Izvršnog odbora  („</w:t>
            </w:r>
            <w:r w:rsidRPr="0075325D">
              <w:rPr>
                <w:rFonts w:ascii="Verdana" w:hAnsi="Verdana"/>
                <w:b/>
                <w:bCs/>
                <w:sz w:val="20"/>
                <w:szCs w:val="20"/>
                <w:lang w:val="pl-PL"/>
              </w:rPr>
              <w:t>Politika Naknada</w:t>
            </w:r>
            <w:r w:rsidRPr="0075325D">
              <w:rPr>
                <w:rFonts w:ascii="Verdana" w:hAnsi="Verdana"/>
                <w:sz w:val="20"/>
                <w:szCs w:val="20"/>
                <w:lang w:val="pl-PL"/>
              </w:rPr>
              <w:t>”) za njihov rad i angažovanje u obavljanju dužnosti iz okvira nadležnosti organa predviđenih odredbama Zakona i Statuta Društva.</w:t>
            </w:r>
          </w:p>
          <w:p w14:paraId="0C02B30A" w14:textId="77777777" w:rsidR="00303431" w:rsidRPr="0075325D" w:rsidRDefault="00303431" w:rsidP="0075325D">
            <w:pPr>
              <w:pStyle w:val="ListParagraph"/>
              <w:spacing w:after="0"/>
              <w:ind w:left="0"/>
              <w:jc w:val="both"/>
              <w:rPr>
                <w:rFonts w:ascii="Verdana" w:hAnsi="Verdana"/>
                <w:sz w:val="20"/>
                <w:szCs w:val="20"/>
                <w:lang w:val="pl-PL"/>
              </w:rPr>
            </w:pPr>
          </w:p>
          <w:p w14:paraId="5E9B4C3D" w14:textId="77777777" w:rsidR="00303431" w:rsidRPr="0075325D" w:rsidRDefault="00303431" w:rsidP="0075325D">
            <w:pPr>
              <w:pStyle w:val="ListParagraph"/>
              <w:spacing w:after="0"/>
              <w:ind w:left="0"/>
              <w:jc w:val="both"/>
              <w:rPr>
                <w:rFonts w:ascii="Verdana" w:hAnsi="Verdana"/>
                <w:sz w:val="20"/>
                <w:szCs w:val="20"/>
                <w:lang w:val="pl-PL"/>
              </w:rPr>
            </w:pPr>
          </w:p>
          <w:p w14:paraId="06C8B68D" w14:textId="77777777" w:rsidR="00303431" w:rsidRPr="0075325D" w:rsidRDefault="00303431" w:rsidP="0075325D">
            <w:pPr>
              <w:pStyle w:val="ListParagraph"/>
              <w:numPr>
                <w:ilvl w:val="1"/>
                <w:numId w:val="1"/>
              </w:numPr>
              <w:spacing w:after="0"/>
              <w:ind w:left="459" w:hanging="459"/>
              <w:jc w:val="both"/>
              <w:rPr>
                <w:rFonts w:ascii="Verdana" w:hAnsi="Verdana"/>
                <w:sz w:val="20"/>
                <w:szCs w:val="20"/>
                <w:lang w:val="pl-PL"/>
              </w:rPr>
            </w:pPr>
            <w:r w:rsidRPr="0075325D">
              <w:rPr>
                <w:rFonts w:ascii="Verdana" w:hAnsi="Verdana"/>
                <w:sz w:val="20"/>
                <w:szCs w:val="20"/>
                <w:lang w:val="pl-PL"/>
              </w:rPr>
              <w:t>Politika naknada je zasnovana na zakonskim propisima i preporukama domaće i međunarodne dobre prakse koroporativnog upravljanja i cilj njenog donošenja i primene jeste motivisanje članova Nadzornog i Izvršnog odbora za njihovo aktivno i odgovorno sprovođenje funkcije kako bi, u krajnjem cilju, rad odbora bio uspešan.</w:t>
            </w:r>
          </w:p>
          <w:p w14:paraId="5D0FF266" w14:textId="77777777" w:rsidR="00303431" w:rsidRPr="0075325D" w:rsidRDefault="00303431" w:rsidP="0075325D">
            <w:pPr>
              <w:spacing w:after="0"/>
              <w:jc w:val="both"/>
              <w:rPr>
                <w:rFonts w:ascii="Verdana" w:hAnsi="Verdana"/>
                <w:sz w:val="20"/>
                <w:szCs w:val="20"/>
                <w:lang w:val="pl-PL"/>
              </w:rPr>
            </w:pPr>
          </w:p>
          <w:p w14:paraId="47D30F37" w14:textId="77777777" w:rsidR="00303431" w:rsidRPr="0075325D" w:rsidRDefault="00303431" w:rsidP="0075325D">
            <w:pPr>
              <w:spacing w:after="0"/>
              <w:jc w:val="both"/>
              <w:rPr>
                <w:rFonts w:ascii="Verdana" w:hAnsi="Verdana"/>
                <w:sz w:val="20"/>
                <w:szCs w:val="20"/>
                <w:lang w:val="pl-PL"/>
              </w:rPr>
            </w:pPr>
          </w:p>
          <w:p w14:paraId="06FB9ADC" w14:textId="77777777" w:rsidR="00303431" w:rsidRPr="0075325D" w:rsidRDefault="00303431" w:rsidP="0075325D">
            <w:pPr>
              <w:pStyle w:val="ListParagraph"/>
              <w:numPr>
                <w:ilvl w:val="0"/>
                <w:numId w:val="2"/>
              </w:numPr>
              <w:spacing w:after="0"/>
              <w:ind w:left="459" w:hanging="141"/>
              <w:jc w:val="both"/>
              <w:rPr>
                <w:rFonts w:ascii="Verdana" w:hAnsi="Verdana"/>
                <w:b/>
                <w:sz w:val="20"/>
                <w:szCs w:val="20"/>
                <w:lang w:val="pl-PL"/>
              </w:rPr>
            </w:pPr>
            <w:r w:rsidRPr="0075325D">
              <w:rPr>
                <w:rFonts w:ascii="Verdana" w:hAnsi="Verdana"/>
                <w:b/>
                <w:sz w:val="20"/>
                <w:szCs w:val="20"/>
                <w:lang w:val="pl-PL"/>
              </w:rPr>
              <w:t>SISTEM NAKNADA ČLANOVIMA NADZORNOG ODBORA</w:t>
            </w:r>
          </w:p>
          <w:p w14:paraId="625C1A5B" w14:textId="77777777" w:rsidR="00303431" w:rsidRPr="0075325D" w:rsidRDefault="00303431" w:rsidP="0075325D">
            <w:pPr>
              <w:spacing w:after="0"/>
              <w:jc w:val="both"/>
              <w:rPr>
                <w:rFonts w:ascii="Verdana" w:hAnsi="Verdana"/>
                <w:sz w:val="20"/>
                <w:szCs w:val="20"/>
                <w:lang w:val="pl-PL"/>
              </w:rPr>
            </w:pPr>
          </w:p>
          <w:p w14:paraId="026C0D2C" w14:textId="77777777" w:rsidR="00303431" w:rsidRPr="0075325D" w:rsidRDefault="00303431" w:rsidP="0075325D">
            <w:pPr>
              <w:pStyle w:val="ListParagraph"/>
              <w:numPr>
                <w:ilvl w:val="1"/>
                <w:numId w:val="2"/>
              </w:numPr>
              <w:spacing w:after="0"/>
              <w:ind w:left="459" w:hanging="425"/>
              <w:jc w:val="both"/>
              <w:rPr>
                <w:rFonts w:ascii="Verdana" w:hAnsi="Verdana"/>
                <w:sz w:val="20"/>
                <w:szCs w:val="20"/>
                <w:lang w:val="pl-PL"/>
              </w:rPr>
            </w:pPr>
            <w:r w:rsidRPr="0075325D">
              <w:rPr>
                <w:rFonts w:ascii="Verdana" w:hAnsi="Verdana"/>
                <w:sz w:val="20"/>
                <w:szCs w:val="20"/>
                <w:lang w:val="pl-PL"/>
              </w:rPr>
              <w:t>Naknada članovima Nadzornog odbora odredjuje se u fiksnom iznosu.</w:t>
            </w:r>
          </w:p>
          <w:p w14:paraId="06420AFC" w14:textId="1CA22A34" w:rsidR="00303431" w:rsidRPr="0075325D" w:rsidRDefault="00303431" w:rsidP="0075325D">
            <w:pPr>
              <w:spacing w:after="0"/>
              <w:jc w:val="both"/>
              <w:rPr>
                <w:rFonts w:ascii="Verdana" w:hAnsi="Verdana"/>
                <w:b/>
                <w:sz w:val="20"/>
                <w:szCs w:val="20"/>
                <w:lang w:val="pl-PL"/>
              </w:rPr>
            </w:pPr>
          </w:p>
          <w:p w14:paraId="1439DA25" w14:textId="7951BF14" w:rsidR="00303431" w:rsidRDefault="00303431" w:rsidP="0075325D">
            <w:pPr>
              <w:spacing w:after="0"/>
              <w:jc w:val="both"/>
              <w:rPr>
                <w:rFonts w:ascii="Verdana" w:hAnsi="Verdana"/>
                <w:b/>
                <w:sz w:val="20"/>
                <w:szCs w:val="20"/>
                <w:lang w:val="pl-PL"/>
              </w:rPr>
            </w:pPr>
          </w:p>
          <w:p w14:paraId="501C58BA" w14:textId="77777777" w:rsidR="0003799F" w:rsidRPr="0075325D" w:rsidRDefault="0003799F" w:rsidP="0075325D">
            <w:pPr>
              <w:spacing w:after="0"/>
              <w:jc w:val="both"/>
              <w:rPr>
                <w:rFonts w:ascii="Verdana" w:hAnsi="Verdana"/>
                <w:b/>
                <w:sz w:val="20"/>
                <w:szCs w:val="20"/>
                <w:lang w:val="pl-PL"/>
              </w:rPr>
            </w:pPr>
          </w:p>
          <w:p w14:paraId="2EAC094B" w14:textId="77777777" w:rsidR="00303431" w:rsidRPr="0075325D" w:rsidRDefault="00303431" w:rsidP="0075325D">
            <w:pPr>
              <w:pStyle w:val="ListParagraph"/>
              <w:numPr>
                <w:ilvl w:val="1"/>
                <w:numId w:val="2"/>
              </w:numPr>
              <w:spacing w:after="0"/>
              <w:ind w:left="459" w:hanging="425"/>
              <w:jc w:val="both"/>
              <w:rPr>
                <w:rFonts w:ascii="Verdana" w:hAnsi="Verdana"/>
                <w:sz w:val="20"/>
                <w:szCs w:val="20"/>
                <w:lang w:val="pl-PL"/>
              </w:rPr>
            </w:pPr>
            <w:r w:rsidRPr="0075325D">
              <w:rPr>
                <w:rFonts w:ascii="Verdana" w:hAnsi="Verdana"/>
                <w:sz w:val="20"/>
                <w:szCs w:val="20"/>
                <w:lang w:val="pl-PL"/>
              </w:rPr>
              <w:t>Visina fiksne naknade za članstvo u Nadzornom odboru formirana je na bazi sledećih činjenica:</w:t>
            </w:r>
          </w:p>
          <w:p w14:paraId="6096DFDE" w14:textId="77777777" w:rsidR="00303431" w:rsidRPr="0075325D" w:rsidRDefault="00303431" w:rsidP="0075325D">
            <w:pPr>
              <w:spacing w:after="0"/>
              <w:jc w:val="both"/>
              <w:rPr>
                <w:rFonts w:ascii="Verdana" w:hAnsi="Verdana"/>
                <w:sz w:val="20"/>
                <w:szCs w:val="20"/>
                <w:lang w:val="pl-PL"/>
              </w:rPr>
            </w:pPr>
          </w:p>
          <w:p w14:paraId="17172952" w14:textId="77777777" w:rsidR="00303431" w:rsidRPr="0075325D" w:rsidRDefault="00303431" w:rsidP="0075325D">
            <w:pPr>
              <w:pStyle w:val="ListParagraph"/>
              <w:numPr>
                <w:ilvl w:val="0"/>
                <w:numId w:val="3"/>
              </w:numPr>
              <w:spacing w:after="0"/>
              <w:ind w:left="742" w:hanging="284"/>
              <w:jc w:val="both"/>
              <w:rPr>
                <w:rFonts w:ascii="Verdana" w:hAnsi="Verdana"/>
                <w:sz w:val="20"/>
                <w:szCs w:val="20"/>
                <w:lang w:val="pl-PL"/>
              </w:rPr>
            </w:pPr>
            <w:r w:rsidRPr="0075325D">
              <w:rPr>
                <w:rFonts w:ascii="Verdana" w:hAnsi="Verdana"/>
                <w:sz w:val="20"/>
                <w:szCs w:val="20"/>
                <w:lang w:val="pl-PL"/>
              </w:rPr>
              <w:t>odgovornosti i zadataka članova Nadzornog odbora;</w:t>
            </w:r>
          </w:p>
          <w:p w14:paraId="6E98EC87" w14:textId="77777777" w:rsidR="00303431" w:rsidRPr="0075325D" w:rsidRDefault="00303431" w:rsidP="0075325D">
            <w:pPr>
              <w:pStyle w:val="ListParagraph"/>
              <w:spacing w:after="0"/>
              <w:jc w:val="both"/>
              <w:rPr>
                <w:rFonts w:ascii="Verdana" w:hAnsi="Verdana"/>
                <w:sz w:val="20"/>
                <w:szCs w:val="20"/>
                <w:lang w:val="pl-PL"/>
              </w:rPr>
            </w:pPr>
          </w:p>
          <w:p w14:paraId="7BB6EAA7" w14:textId="77777777" w:rsidR="00303431" w:rsidRPr="0075325D" w:rsidRDefault="00303431" w:rsidP="0075325D">
            <w:pPr>
              <w:pStyle w:val="ListParagraph"/>
              <w:numPr>
                <w:ilvl w:val="0"/>
                <w:numId w:val="3"/>
              </w:numPr>
              <w:spacing w:after="0"/>
              <w:ind w:left="742" w:hanging="284"/>
              <w:jc w:val="both"/>
              <w:rPr>
                <w:rFonts w:ascii="Verdana" w:hAnsi="Verdana"/>
                <w:sz w:val="20"/>
                <w:szCs w:val="20"/>
                <w:lang w:val="pl-PL"/>
              </w:rPr>
            </w:pPr>
            <w:r w:rsidRPr="0075325D">
              <w:rPr>
                <w:rFonts w:ascii="Verdana" w:hAnsi="Verdana"/>
                <w:sz w:val="20"/>
                <w:szCs w:val="20"/>
                <w:lang w:val="pl-PL"/>
              </w:rPr>
              <w:t>očekivane stručnosti i aktivnosti članova Nadzornog odbora;</w:t>
            </w:r>
          </w:p>
          <w:p w14:paraId="61D492A7" w14:textId="77777777" w:rsidR="00303431" w:rsidRPr="0075325D" w:rsidRDefault="00303431" w:rsidP="0075325D">
            <w:pPr>
              <w:pStyle w:val="ListParagraph"/>
              <w:spacing w:after="0"/>
              <w:ind w:left="742"/>
              <w:jc w:val="both"/>
              <w:rPr>
                <w:rFonts w:ascii="Verdana" w:hAnsi="Verdana"/>
                <w:sz w:val="20"/>
                <w:szCs w:val="20"/>
                <w:lang w:val="pl-PL"/>
              </w:rPr>
            </w:pPr>
          </w:p>
          <w:p w14:paraId="330AEF87" w14:textId="77777777" w:rsidR="00303431" w:rsidRPr="0075325D" w:rsidRDefault="00303431" w:rsidP="0075325D">
            <w:pPr>
              <w:pStyle w:val="ListParagraph"/>
              <w:numPr>
                <w:ilvl w:val="0"/>
                <w:numId w:val="3"/>
              </w:numPr>
              <w:spacing w:after="0"/>
              <w:ind w:left="742" w:hanging="284"/>
              <w:jc w:val="both"/>
              <w:rPr>
                <w:rFonts w:ascii="Verdana" w:hAnsi="Verdana"/>
                <w:sz w:val="20"/>
                <w:szCs w:val="20"/>
                <w:lang w:val="pl-PL"/>
              </w:rPr>
            </w:pPr>
            <w:r w:rsidRPr="0075325D">
              <w:rPr>
                <w:rFonts w:ascii="Verdana" w:hAnsi="Verdana"/>
                <w:sz w:val="20"/>
                <w:szCs w:val="20"/>
                <w:lang w:val="pl-PL"/>
              </w:rPr>
              <w:t>uloženog vremena i truda članova Nadzornog odbora kao i očekivanih rezultata;</w:t>
            </w:r>
          </w:p>
          <w:p w14:paraId="4593E63C" w14:textId="77777777" w:rsidR="00303431" w:rsidRPr="0075325D" w:rsidRDefault="00303431" w:rsidP="0075325D">
            <w:pPr>
              <w:pStyle w:val="ListParagraph"/>
              <w:spacing w:after="0"/>
              <w:ind w:left="742"/>
              <w:jc w:val="both"/>
              <w:rPr>
                <w:rFonts w:ascii="Verdana" w:hAnsi="Verdana"/>
                <w:sz w:val="20"/>
                <w:szCs w:val="20"/>
                <w:lang w:val="pl-PL"/>
              </w:rPr>
            </w:pPr>
          </w:p>
          <w:p w14:paraId="55F45D9E" w14:textId="77777777" w:rsidR="00303431" w:rsidRPr="0075325D" w:rsidRDefault="00303431" w:rsidP="0075325D">
            <w:pPr>
              <w:pStyle w:val="ListParagraph"/>
              <w:numPr>
                <w:ilvl w:val="0"/>
                <w:numId w:val="3"/>
              </w:numPr>
              <w:spacing w:after="0"/>
              <w:ind w:left="742" w:hanging="284"/>
              <w:jc w:val="both"/>
              <w:rPr>
                <w:rFonts w:ascii="Verdana" w:hAnsi="Verdana"/>
                <w:sz w:val="20"/>
                <w:szCs w:val="20"/>
                <w:lang w:val="pl-PL"/>
              </w:rPr>
            </w:pPr>
            <w:r w:rsidRPr="0075325D">
              <w:rPr>
                <w:rFonts w:ascii="Verdana" w:hAnsi="Verdana"/>
                <w:sz w:val="20"/>
                <w:szCs w:val="20"/>
                <w:lang w:val="pl-PL"/>
              </w:rPr>
              <w:t>kompleksnosti i veličine Društva;</w:t>
            </w:r>
          </w:p>
          <w:p w14:paraId="1AB85DBA" w14:textId="0CC1353B" w:rsidR="00303431" w:rsidRPr="0075325D" w:rsidRDefault="00303431" w:rsidP="0075325D">
            <w:pPr>
              <w:pStyle w:val="ListParagraph"/>
              <w:spacing w:after="0"/>
              <w:ind w:left="742"/>
              <w:jc w:val="both"/>
              <w:rPr>
                <w:rFonts w:ascii="Verdana" w:hAnsi="Verdana"/>
                <w:sz w:val="20"/>
                <w:szCs w:val="20"/>
                <w:lang w:val="pl-PL"/>
              </w:rPr>
            </w:pPr>
          </w:p>
          <w:p w14:paraId="6B23D619" w14:textId="77777777" w:rsidR="00303431" w:rsidRPr="0075325D" w:rsidRDefault="00303431" w:rsidP="0075325D">
            <w:pPr>
              <w:pStyle w:val="ListParagraph"/>
              <w:spacing w:after="0"/>
              <w:ind w:left="742"/>
              <w:jc w:val="both"/>
              <w:rPr>
                <w:rFonts w:ascii="Verdana" w:hAnsi="Verdana"/>
                <w:sz w:val="20"/>
                <w:szCs w:val="20"/>
                <w:lang w:val="pl-PL"/>
              </w:rPr>
            </w:pPr>
          </w:p>
          <w:p w14:paraId="2DF06E8E" w14:textId="77777777" w:rsidR="00303431" w:rsidRPr="0075325D" w:rsidRDefault="00303431" w:rsidP="0075325D">
            <w:pPr>
              <w:pStyle w:val="ListParagraph"/>
              <w:numPr>
                <w:ilvl w:val="0"/>
                <w:numId w:val="3"/>
              </w:numPr>
              <w:spacing w:after="0"/>
              <w:ind w:left="742" w:hanging="284"/>
              <w:jc w:val="both"/>
              <w:rPr>
                <w:rFonts w:ascii="Verdana" w:hAnsi="Verdana"/>
                <w:sz w:val="20"/>
                <w:szCs w:val="20"/>
                <w:lang w:val="pl-PL"/>
              </w:rPr>
            </w:pPr>
            <w:r w:rsidRPr="0075325D">
              <w:rPr>
                <w:rFonts w:ascii="Verdana" w:hAnsi="Verdana"/>
                <w:sz w:val="20"/>
                <w:szCs w:val="20"/>
                <w:lang w:val="pl-PL"/>
              </w:rPr>
              <w:t>finansijskog stanja Društva;</w:t>
            </w:r>
          </w:p>
          <w:p w14:paraId="2A65D94B" w14:textId="77777777" w:rsidR="00303431" w:rsidRPr="0075325D" w:rsidRDefault="00303431" w:rsidP="0075325D">
            <w:pPr>
              <w:pStyle w:val="ListParagraph"/>
              <w:spacing w:after="0"/>
              <w:ind w:left="742"/>
              <w:jc w:val="both"/>
              <w:rPr>
                <w:rFonts w:ascii="Verdana" w:hAnsi="Verdana"/>
                <w:sz w:val="20"/>
                <w:szCs w:val="20"/>
                <w:lang w:val="pl-PL"/>
              </w:rPr>
            </w:pPr>
          </w:p>
          <w:p w14:paraId="204DC9EC" w14:textId="77777777" w:rsidR="00303431" w:rsidRPr="0075325D" w:rsidRDefault="00303431" w:rsidP="0075325D">
            <w:pPr>
              <w:pStyle w:val="ListParagraph"/>
              <w:numPr>
                <w:ilvl w:val="0"/>
                <w:numId w:val="3"/>
              </w:numPr>
              <w:spacing w:after="0"/>
              <w:ind w:left="742" w:hanging="284"/>
              <w:jc w:val="both"/>
              <w:rPr>
                <w:rFonts w:ascii="Verdana" w:hAnsi="Verdana"/>
                <w:sz w:val="20"/>
                <w:szCs w:val="20"/>
                <w:lang w:val="pl-PL"/>
              </w:rPr>
            </w:pPr>
            <w:r w:rsidRPr="0075325D">
              <w:rPr>
                <w:rFonts w:ascii="Verdana" w:hAnsi="Verdana"/>
                <w:sz w:val="20"/>
                <w:szCs w:val="20"/>
                <w:lang w:val="pl-PL"/>
              </w:rPr>
              <w:t>ekonomskog okruženja u kome se Društvo nalazi;</w:t>
            </w:r>
          </w:p>
          <w:p w14:paraId="634814A3" w14:textId="77777777" w:rsidR="00303431" w:rsidRPr="0075325D" w:rsidRDefault="00303431" w:rsidP="0075325D">
            <w:pPr>
              <w:pStyle w:val="ListParagraph"/>
              <w:spacing w:after="0"/>
              <w:ind w:left="742"/>
              <w:jc w:val="both"/>
              <w:rPr>
                <w:rFonts w:ascii="Verdana" w:hAnsi="Verdana"/>
                <w:sz w:val="20"/>
                <w:szCs w:val="20"/>
                <w:lang w:val="pl-PL"/>
              </w:rPr>
            </w:pPr>
          </w:p>
          <w:p w14:paraId="5F4C8A01" w14:textId="77777777" w:rsidR="00303431" w:rsidRPr="0075325D" w:rsidRDefault="00303431" w:rsidP="0075325D">
            <w:pPr>
              <w:pStyle w:val="ListParagraph"/>
              <w:numPr>
                <w:ilvl w:val="0"/>
                <w:numId w:val="3"/>
              </w:numPr>
              <w:spacing w:after="0"/>
              <w:ind w:left="742" w:hanging="284"/>
              <w:jc w:val="both"/>
              <w:rPr>
                <w:rFonts w:ascii="Verdana" w:hAnsi="Verdana"/>
                <w:sz w:val="20"/>
                <w:szCs w:val="20"/>
                <w:lang w:val="pl-PL"/>
              </w:rPr>
            </w:pPr>
            <w:r w:rsidRPr="0075325D">
              <w:rPr>
                <w:rFonts w:ascii="Verdana" w:hAnsi="Verdana"/>
                <w:sz w:val="20"/>
                <w:szCs w:val="20"/>
                <w:lang w:val="pl-PL"/>
              </w:rPr>
              <w:t>procene dotadašnjeg rada članova Nadzornog odbora, kao i odbora u celini;</w:t>
            </w:r>
          </w:p>
          <w:p w14:paraId="292F4666" w14:textId="77777777" w:rsidR="00303431" w:rsidRPr="0075325D" w:rsidRDefault="00303431" w:rsidP="0075325D">
            <w:pPr>
              <w:pStyle w:val="ListParagraph"/>
              <w:spacing w:after="0"/>
              <w:ind w:left="742"/>
              <w:jc w:val="both"/>
              <w:rPr>
                <w:rFonts w:ascii="Verdana" w:hAnsi="Verdana"/>
                <w:sz w:val="20"/>
                <w:szCs w:val="20"/>
                <w:lang w:val="pl-PL"/>
              </w:rPr>
            </w:pPr>
          </w:p>
          <w:p w14:paraId="15AC800A" w14:textId="77777777" w:rsidR="00303431" w:rsidRPr="0075325D" w:rsidRDefault="00303431" w:rsidP="0075325D">
            <w:pPr>
              <w:pStyle w:val="ListParagraph"/>
              <w:numPr>
                <w:ilvl w:val="0"/>
                <w:numId w:val="3"/>
              </w:numPr>
              <w:spacing w:after="0"/>
              <w:ind w:left="742" w:hanging="284"/>
              <w:jc w:val="both"/>
              <w:rPr>
                <w:rFonts w:ascii="Verdana" w:hAnsi="Verdana"/>
                <w:sz w:val="20"/>
                <w:szCs w:val="20"/>
                <w:lang w:val="pl-PL"/>
              </w:rPr>
            </w:pPr>
            <w:r w:rsidRPr="0075325D">
              <w:rPr>
                <w:rFonts w:ascii="Verdana" w:hAnsi="Verdana"/>
                <w:sz w:val="20"/>
                <w:szCs w:val="20"/>
                <w:lang w:val="pl-PL"/>
              </w:rPr>
              <w:t>i na drugim okolnostima od značaja za rad Nadzornog odbora.</w:t>
            </w:r>
          </w:p>
          <w:p w14:paraId="15B8AFF7" w14:textId="2279D334" w:rsidR="00303431" w:rsidRPr="0075325D" w:rsidRDefault="00303431" w:rsidP="0075325D">
            <w:pPr>
              <w:spacing w:after="0"/>
              <w:jc w:val="both"/>
              <w:rPr>
                <w:rFonts w:ascii="Verdana" w:hAnsi="Verdana"/>
                <w:sz w:val="20"/>
                <w:szCs w:val="20"/>
                <w:lang w:val="pl-PL"/>
              </w:rPr>
            </w:pPr>
          </w:p>
          <w:p w14:paraId="36A8340E" w14:textId="77777777" w:rsidR="00303431" w:rsidRPr="0075325D" w:rsidRDefault="00303431" w:rsidP="0075325D">
            <w:pPr>
              <w:spacing w:after="0"/>
              <w:jc w:val="both"/>
              <w:rPr>
                <w:rFonts w:ascii="Verdana" w:hAnsi="Verdana"/>
                <w:sz w:val="20"/>
                <w:szCs w:val="20"/>
                <w:lang w:val="pl-PL"/>
              </w:rPr>
            </w:pPr>
          </w:p>
          <w:p w14:paraId="69435046" w14:textId="77777777" w:rsidR="00303431" w:rsidRPr="0075325D" w:rsidRDefault="00303431" w:rsidP="0075325D">
            <w:pPr>
              <w:pStyle w:val="ListParagraph"/>
              <w:numPr>
                <w:ilvl w:val="1"/>
                <w:numId w:val="2"/>
              </w:numPr>
              <w:spacing w:after="0"/>
              <w:ind w:left="459" w:hanging="425"/>
              <w:jc w:val="both"/>
              <w:rPr>
                <w:rFonts w:ascii="Verdana" w:hAnsi="Verdana"/>
                <w:sz w:val="20"/>
                <w:szCs w:val="20"/>
                <w:lang w:val="pl-PL"/>
              </w:rPr>
            </w:pPr>
            <w:r w:rsidRPr="0075325D">
              <w:rPr>
                <w:rFonts w:ascii="Verdana" w:hAnsi="Verdana"/>
                <w:sz w:val="20"/>
                <w:szCs w:val="20"/>
                <w:lang w:val="pl-PL"/>
              </w:rPr>
              <w:t>Svakom članu Nadzornog odbora isplaćuje se fiksna mesečna naknada za članstvo u Nadzornom odboru u neto iznosu jednakom minimalnoj neto zaradi u Republici Srbiji za mesec za koji se isplaćuje naknada.</w:t>
            </w:r>
          </w:p>
          <w:p w14:paraId="566B7A73" w14:textId="77777777" w:rsidR="00303431" w:rsidRPr="0075325D" w:rsidRDefault="00303431" w:rsidP="0075325D">
            <w:pPr>
              <w:spacing w:after="0"/>
              <w:jc w:val="both"/>
              <w:rPr>
                <w:rFonts w:ascii="Verdana" w:hAnsi="Verdana"/>
                <w:sz w:val="20"/>
                <w:szCs w:val="20"/>
                <w:lang w:val="pl-PL"/>
              </w:rPr>
            </w:pPr>
          </w:p>
          <w:p w14:paraId="274B7710" w14:textId="77777777" w:rsidR="00303431" w:rsidRPr="0075325D" w:rsidRDefault="00303431" w:rsidP="0075325D">
            <w:pPr>
              <w:spacing w:after="0"/>
              <w:jc w:val="both"/>
              <w:rPr>
                <w:rFonts w:ascii="Verdana" w:hAnsi="Verdana"/>
                <w:sz w:val="20"/>
                <w:szCs w:val="20"/>
                <w:lang w:val="pl-PL"/>
              </w:rPr>
            </w:pPr>
          </w:p>
          <w:p w14:paraId="15235BEF" w14:textId="022DF0D4" w:rsidR="00303431" w:rsidRPr="0075325D" w:rsidRDefault="00303431" w:rsidP="0075325D">
            <w:pPr>
              <w:pStyle w:val="ListParagraph"/>
              <w:numPr>
                <w:ilvl w:val="1"/>
                <w:numId w:val="2"/>
              </w:numPr>
              <w:spacing w:after="0"/>
              <w:ind w:left="459" w:hanging="425"/>
              <w:jc w:val="both"/>
              <w:rPr>
                <w:rFonts w:ascii="Verdana" w:hAnsi="Verdana"/>
                <w:sz w:val="20"/>
                <w:szCs w:val="20"/>
                <w:lang w:val="pl-PL"/>
              </w:rPr>
            </w:pPr>
            <w:r w:rsidRPr="0075325D">
              <w:rPr>
                <w:rFonts w:ascii="Verdana" w:hAnsi="Verdana"/>
                <w:sz w:val="20"/>
                <w:szCs w:val="20"/>
                <w:lang w:val="pl-PL"/>
              </w:rPr>
              <w:t>Na osnovu ove Politike naknada</w:t>
            </w:r>
            <w:r w:rsidRPr="0075325D">
              <w:rPr>
                <w:rFonts w:ascii="Verdana" w:hAnsi="Verdana"/>
                <w:sz w:val="20"/>
                <w:szCs w:val="20"/>
                <w:lang w:val="sr-Latn-CS"/>
              </w:rPr>
              <w:t xml:space="preserve"> zakonski zastupnici sa članovima Nadzornog odbora zaključuju ugovore </w:t>
            </w:r>
            <w:r w:rsidRPr="0075325D">
              <w:rPr>
                <w:rFonts w:ascii="Verdana" w:hAnsi="Verdana"/>
                <w:sz w:val="20"/>
                <w:szCs w:val="20"/>
                <w:lang w:val="pl-PL"/>
              </w:rPr>
              <w:t>o regulisanju međusobnih prava i obaveza.</w:t>
            </w:r>
          </w:p>
          <w:p w14:paraId="088A9F5E" w14:textId="77777777" w:rsidR="00303431" w:rsidRPr="0075325D" w:rsidRDefault="00303431" w:rsidP="0075325D">
            <w:pPr>
              <w:spacing w:after="0"/>
              <w:rPr>
                <w:rFonts w:ascii="Verdana" w:hAnsi="Verdana"/>
                <w:b/>
                <w:sz w:val="20"/>
                <w:szCs w:val="20"/>
                <w:lang w:val="pl-PL"/>
              </w:rPr>
            </w:pPr>
          </w:p>
          <w:p w14:paraId="0EC4F0DC" w14:textId="75F79DA3" w:rsidR="0075325D" w:rsidRDefault="0075325D" w:rsidP="0075325D">
            <w:pPr>
              <w:spacing w:after="0"/>
              <w:rPr>
                <w:rFonts w:ascii="Verdana" w:hAnsi="Verdana"/>
                <w:b/>
                <w:sz w:val="20"/>
                <w:szCs w:val="20"/>
                <w:lang w:val="pl-PL"/>
              </w:rPr>
            </w:pPr>
          </w:p>
          <w:p w14:paraId="37677CB6" w14:textId="1E16977A" w:rsidR="0079740F" w:rsidRDefault="0079740F" w:rsidP="0075325D">
            <w:pPr>
              <w:spacing w:after="0"/>
              <w:rPr>
                <w:rFonts w:ascii="Verdana" w:hAnsi="Verdana"/>
                <w:b/>
                <w:sz w:val="20"/>
                <w:szCs w:val="20"/>
                <w:lang w:val="pl-PL"/>
              </w:rPr>
            </w:pPr>
          </w:p>
          <w:p w14:paraId="63BDECE6" w14:textId="08362723" w:rsidR="0003799F" w:rsidRDefault="0003799F" w:rsidP="0075325D">
            <w:pPr>
              <w:spacing w:after="0"/>
              <w:rPr>
                <w:rFonts w:ascii="Verdana" w:hAnsi="Verdana"/>
                <w:b/>
                <w:sz w:val="20"/>
                <w:szCs w:val="20"/>
                <w:lang w:val="pl-PL"/>
              </w:rPr>
            </w:pPr>
          </w:p>
          <w:p w14:paraId="208810FB" w14:textId="1F00278E" w:rsidR="0003799F" w:rsidRDefault="0003799F" w:rsidP="0075325D">
            <w:pPr>
              <w:spacing w:after="0"/>
              <w:rPr>
                <w:rFonts w:ascii="Verdana" w:hAnsi="Verdana"/>
                <w:b/>
                <w:sz w:val="20"/>
                <w:szCs w:val="20"/>
                <w:lang w:val="pl-PL"/>
              </w:rPr>
            </w:pPr>
          </w:p>
          <w:p w14:paraId="63FA392B" w14:textId="77777777" w:rsidR="0003799F" w:rsidRDefault="0003799F" w:rsidP="0075325D">
            <w:pPr>
              <w:spacing w:after="0"/>
              <w:rPr>
                <w:rFonts w:ascii="Verdana" w:hAnsi="Verdana"/>
                <w:b/>
                <w:sz w:val="20"/>
                <w:szCs w:val="20"/>
                <w:lang w:val="pl-PL"/>
              </w:rPr>
            </w:pPr>
          </w:p>
          <w:p w14:paraId="37640441" w14:textId="77777777" w:rsidR="0079740F" w:rsidRPr="0075325D" w:rsidRDefault="0079740F" w:rsidP="0075325D">
            <w:pPr>
              <w:spacing w:after="0"/>
              <w:rPr>
                <w:rFonts w:ascii="Verdana" w:hAnsi="Verdana"/>
                <w:b/>
                <w:sz w:val="20"/>
                <w:szCs w:val="20"/>
                <w:lang w:val="pl-PL"/>
              </w:rPr>
            </w:pPr>
          </w:p>
          <w:p w14:paraId="5B6BB4C0" w14:textId="77777777" w:rsidR="00303431" w:rsidRPr="0075325D" w:rsidRDefault="00303431" w:rsidP="0075325D">
            <w:pPr>
              <w:pStyle w:val="ListParagraph"/>
              <w:numPr>
                <w:ilvl w:val="0"/>
                <w:numId w:val="2"/>
              </w:numPr>
              <w:spacing w:after="0"/>
              <w:ind w:left="459" w:hanging="141"/>
              <w:jc w:val="both"/>
              <w:rPr>
                <w:rFonts w:ascii="Verdana" w:hAnsi="Verdana"/>
                <w:b/>
                <w:sz w:val="20"/>
                <w:szCs w:val="20"/>
                <w:lang w:val="pl-PL"/>
              </w:rPr>
            </w:pPr>
            <w:r w:rsidRPr="0075325D">
              <w:rPr>
                <w:rFonts w:ascii="Verdana" w:hAnsi="Verdana"/>
                <w:b/>
                <w:sz w:val="20"/>
                <w:szCs w:val="20"/>
                <w:lang w:val="pl-PL"/>
              </w:rPr>
              <w:t>SISTEM NAKNADA ČLANOVIMA IZVRŠNOG ODBORA</w:t>
            </w:r>
          </w:p>
          <w:p w14:paraId="4E01FDF8" w14:textId="77777777" w:rsidR="00303431" w:rsidRPr="0075325D" w:rsidRDefault="00303431" w:rsidP="0075325D">
            <w:pPr>
              <w:spacing w:after="0"/>
              <w:jc w:val="both"/>
              <w:rPr>
                <w:rFonts w:ascii="Verdana" w:hAnsi="Verdana"/>
                <w:sz w:val="20"/>
                <w:szCs w:val="20"/>
                <w:lang w:val="pl-PL"/>
              </w:rPr>
            </w:pPr>
          </w:p>
          <w:p w14:paraId="3D78F33A" w14:textId="77777777" w:rsidR="00303431" w:rsidRPr="0075325D" w:rsidRDefault="00303431" w:rsidP="0075325D">
            <w:pPr>
              <w:spacing w:after="0"/>
              <w:jc w:val="both"/>
              <w:rPr>
                <w:rFonts w:ascii="Verdana" w:hAnsi="Verdana"/>
                <w:sz w:val="20"/>
                <w:szCs w:val="20"/>
                <w:lang w:val="pl-PL"/>
              </w:rPr>
            </w:pPr>
          </w:p>
          <w:p w14:paraId="6417D3A1" w14:textId="77777777" w:rsidR="00303431" w:rsidRPr="0075325D" w:rsidRDefault="00303431" w:rsidP="0075325D">
            <w:pPr>
              <w:pStyle w:val="ListParagraph"/>
              <w:numPr>
                <w:ilvl w:val="1"/>
                <w:numId w:val="2"/>
              </w:numPr>
              <w:spacing w:after="0"/>
              <w:ind w:left="459" w:hanging="425"/>
              <w:jc w:val="both"/>
              <w:rPr>
                <w:rFonts w:ascii="Verdana" w:hAnsi="Verdana"/>
                <w:sz w:val="20"/>
                <w:szCs w:val="20"/>
                <w:lang w:val="pl-PL"/>
              </w:rPr>
            </w:pPr>
            <w:r w:rsidRPr="0075325D">
              <w:rPr>
                <w:rFonts w:ascii="Verdana" w:hAnsi="Verdana"/>
                <w:sz w:val="20"/>
                <w:szCs w:val="20"/>
                <w:lang w:val="pl-PL"/>
              </w:rPr>
              <w:t>Sistem naknada ima za svrhu motivisanje članova Izvršnog odbora za odgovorno i aktivno obavljanje svojih funkcija.</w:t>
            </w:r>
          </w:p>
          <w:p w14:paraId="011EC659" w14:textId="77777777" w:rsidR="00303431" w:rsidRPr="0075325D" w:rsidRDefault="00303431" w:rsidP="0075325D">
            <w:pPr>
              <w:spacing w:after="0"/>
              <w:jc w:val="both"/>
              <w:rPr>
                <w:rFonts w:ascii="Verdana" w:hAnsi="Verdana"/>
                <w:sz w:val="20"/>
                <w:szCs w:val="20"/>
                <w:lang w:val="pl-PL"/>
              </w:rPr>
            </w:pPr>
          </w:p>
          <w:p w14:paraId="14ABE54E" w14:textId="77777777" w:rsidR="00303431" w:rsidRPr="0075325D" w:rsidRDefault="00303431" w:rsidP="0075325D">
            <w:pPr>
              <w:spacing w:after="0"/>
              <w:jc w:val="both"/>
              <w:rPr>
                <w:rFonts w:ascii="Verdana" w:hAnsi="Verdana"/>
                <w:sz w:val="20"/>
                <w:szCs w:val="20"/>
                <w:lang w:val="pl-PL"/>
              </w:rPr>
            </w:pPr>
          </w:p>
          <w:p w14:paraId="218891D1" w14:textId="77777777" w:rsidR="00303431" w:rsidRPr="0075325D" w:rsidRDefault="00303431" w:rsidP="0075325D">
            <w:pPr>
              <w:pStyle w:val="ListParagraph"/>
              <w:numPr>
                <w:ilvl w:val="1"/>
                <w:numId w:val="2"/>
              </w:numPr>
              <w:spacing w:after="0"/>
              <w:ind w:left="459" w:hanging="425"/>
              <w:jc w:val="both"/>
              <w:rPr>
                <w:rFonts w:ascii="Verdana" w:hAnsi="Verdana"/>
                <w:sz w:val="20"/>
                <w:szCs w:val="20"/>
                <w:lang w:val="pl-PL"/>
              </w:rPr>
            </w:pPr>
            <w:r w:rsidRPr="0075325D">
              <w:rPr>
                <w:rFonts w:ascii="Verdana" w:hAnsi="Verdana"/>
                <w:sz w:val="20"/>
                <w:szCs w:val="20"/>
                <w:lang w:val="pl-PL"/>
              </w:rPr>
              <w:t>Naknada za rad članova Izvršnog odbora biće određena ugovorom o radu odnosno ugovorom o regulisanju međusobnih prava i obaveza koje sa članom Izvršnog odbora zaključuje Nadzorni odbor, gde Nadzorni odbor, prilikom utvrđenja naknade naročito ima u vidu:</w:t>
            </w:r>
          </w:p>
          <w:p w14:paraId="0F4ED1EA" w14:textId="77777777" w:rsidR="00303431" w:rsidRPr="0075325D" w:rsidRDefault="00303431" w:rsidP="0075325D">
            <w:pPr>
              <w:spacing w:after="0"/>
              <w:jc w:val="both"/>
              <w:rPr>
                <w:rFonts w:ascii="Verdana" w:hAnsi="Verdana"/>
                <w:sz w:val="20"/>
                <w:szCs w:val="20"/>
                <w:lang w:val="pl-PL"/>
              </w:rPr>
            </w:pPr>
          </w:p>
          <w:p w14:paraId="5DD7A4B5" w14:textId="77777777" w:rsidR="00303431" w:rsidRPr="0075325D" w:rsidRDefault="00303431" w:rsidP="0075325D">
            <w:pPr>
              <w:spacing w:after="0"/>
              <w:jc w:val="both"/>
              <w:rPr>
                <w:rFonts w:ascii="Verdana" w:hAnsi="Verdana"/>
                <w:sz w:val="20"/>
                <w:szCs w:val="20"/>
                <w:lang w:val="pl-PL"/>
              </w:rPr>
            </w:pPr>
          </w:p>
          <w:p w14:paraId="34D699C5" w14:textId="77777777" w:rsidR="00303431" w:rsidRPr="0075325D" w:rsidRDefault="00303431" w:rsidP="0075325D">
            <w:pPr>
              <w:spacing w:after="0"/>
              <w:jc w:val="both"/>
              <w:rPr>
                <w:rFonts w:ascii="Verdana" w:hAnsi="Verdana"/>
                <w:sz w:val="20"/>
                <w:szCs w:val="20"/>
                <w:lang w:val="pl-PL"/>
              </w:rPr>
            </w:pPr>
          </w:p>
          <w:p w14:paraId="54EBB884" w14:textId="77777777" w:rsidR="00303431" w:rsidRPr="0075325D" w:rsidRDefault="00303431" w:rsidP="0075325D">
            <w:pPr>
              <w:spacing w:after="0"/>
              <w:jc w:val="both"/>
              <w:rPr>
                <w:rFonts w:ascii="Verdana" w:hAnsi="Verdana"/>
                <w:sz w:val="20"/>
                <w:szCs w:val="20"/>
                <w:lang w:val="pl-PL"/>
              </w:rPr>
            </w:pPr>
          </w:p>
          <w:p w14:paraId="72127392" w14:textId="77777777" w:rsidR="00303431" w:rsidRPr="0075325D" w:rsidRDefault="00303431" w:rsidP="0075325D">
            <w:pPr>
              <w:pStyle w:val="ListParagraph"/>
              <w:numPr>
                <w:ilvl w:val="0"/>
                <w:numId w:val="3"/>
              </w:numPr>
              <w:spacing w:after="0"/>
              <w:ind w:left="742" w:hanging="284"/>
              <w:jc w:val="both"/>
              <w:rPr>
                <w:rFonts w:ascii="Verdana" w:hAnsi="Verdana"/>
                <w:sz w:val="20"/>
                <w:szCs w:val="20"/>
                <w:lang w:val="pl-PL"/>
              </w:rPr>
            </w:pPr>
            <w:r w:rsidRPr="0075325D">
              <w:rPr>
                <w:rFonts w:ascii="Verdana" w:hAnsi="Verdana"/>
                <w:sz w:val="20"/>
                <w:szCs w:val="20"/>
                <w:lang w:val="pl-PL"/>
              </w:rPr>
              <w:t>odgovornosti i zadatke članova Izvršnog odbora;</w:t>
            </w:r>
          </w:p>
          <w:p w14:paraId="48E89D27" w14:textId="77777777" w:rsidR="00303431" w:rsidRPr="0075325D" w:rsidRDefault="00303431" w:rsidP="0075325D">
            <w:pPr>
              <w:pStyle w:val="ListParagraph"/>
              <w:spacing w:after="0"/>
              <w:ind w:left="742"/>
              <w:jc w:val="both"/>
              <w:rPr>
                <w:rFonts w:ascii="Verdana" w:hAnsi="Verdana"/>
                <w:sz w:val="20"/>
                <w:szCs w:val="20"/>
                <w:lang w:val="pl-PL"/>
              </w:rPr>
            </w:pPr>
          </w:p>
          <w:p w14:paraId="1EE1B76A" w14:textId="77777777" w:rsidR="00303431" w:rsidRPr="0075325D" w:rsidRDefault="00303431" w:rsidP="0075325D">
            <w:pPr>
              <w:pStyle w:val="ListParagraph"/>
              <w:numPr>
                <w:ilvl w:val="0"/>
                <w:numId w:val="3"/>
              </w:numPr>
              <w:spacing w:after="0"/>
              <w:ind w:left="742" w:hanging="284"/>
              <w:jc w:val="both"/>
              <w:rPr>
                <w:rFonts w:ascii="Verdana" w:hAnsi="Verdana"/>
                <w:sz w:val="20"/>
                <w:szCs w:val="20"/>
                <w:lang w:val="pl-PL"/>
              </w:rPr>
            </w:pPr>
            <w:r w:rsidRPr="0075325D">
              <w:rPr>
                <w:rFonts w:ascii="Verdana" w:hAnsi="Verdana"/>
                <w:sz w:val="20"/>
                <w:szCs w:val="20"/>
                <w:lang w:val="pl-PL"/>
              </w:rPr>
              <w:t>očekivane stručnosti članova Izvršnog odbora;</w:t>
            </w:r>
          </w:p>
          <w:p w14:paraId="5446139B" w14:textId="77777777" w:rsidR="00303431" w:rsidRPr="0075325D" w:rsidRDefault="00303431" w:rsidP="0075325D">
            <w:pPr>
              <w:pStyle w:val="ListParagraph"/>
              <w:spacing w:after="0"/>
              <w:ind w:left="742"/>
              <w:jc w:val="both"/>
              <w:rPr>
                <w:rFonts w:ascii="Verdana" w:hAnsi="Verdana"/>
                <w:sz w:val="20"/>
                <w:szCs w:val="20"/>
                <w:lang w:val="pl-PL"/>
              </w:rPr>
            </w:pPr>
          </w:p>
          <w:p w14:paraId="1F6B00B2" w14:textId="77777777" w:rsidR="00303431" w:rsidRPr="0075325D" w:rsidRDefault="00303431" w:rsidP="0075325D">
            <w:pPr>
              <w:pStyle w:val="ListParagraph"/>
              <w:numPr>
                <w:ilvl w:val="0"/>
                <w:numId w:val="3"/>
              </w:numPr>
              <w:spacing w:after="0"/>
              <w:ind w:left="742" w:hanging="284"/>
              <w:jc w:val="both"/>
              <w:rPr>
                <w:rFonts w:ascii="Verdana" w:hAnsi="Verdana"/>
                <w:sz w:val="20"/>
                <w:szCs w:val="20"/>
                <w:lang w:val="pl-PL"/>
              </w:rPr>
            </w:pPr>
            <w:r w:rsidRPr="0075325D">
              <w:rPr>
                <w:rFonts w:ascii="Verdana" w:hAnsi="Verdana"/>
                <w:sz w:val="20"/>
                <w:szCs w:val="20"/>
                <w:lang w:val="pl-PL"/>
              </w:rPr>
              <w:t>uloženog vremena i truda članova Izvršnog odbora kao i očekivanih rezultata;</w:t>
            </w:r>
          </w:p>
          <w:p w14:paraId="670668E8" w14:textId="77777777" w:rsidR="00303431" w:rsidRPr="0075325D" w:rsidRDefault="00303431" w:rsidP="0075325D">
            <w:pPr>
              <w:pStyle w:val="ListParagraph"/>
              <w:spacing w:after="0"/>
              <w:ind w:left="742"/>
              <w:jc w:val="both"/>
              <w:rPr>
                <w:rFonts w:ascii="Verdana" w:hAnsi="Verdana"/>
                <w:sz w:val="20"/>
                <w:szCs w:val="20"/>
                <w:lang w:val="pl-PL"/>
              </w:rPr>
            </w:pPr>
          </w:p>
          <w:p w14:paraId="7BF3679E" w14:textId="77777777" w:rsidR="00303431" w:rsidRPr="0075325D" w:rsidRDefault="00303431" w:rsidP="0075325D">
            <w:pPr>
              <w:pStyle w:val="ListParagraph"/>
              <w:numPr>
                <w:ilvl w:val="0"/>
                <w:numId w:val="3"/>
              </w:numPr>
              <w:spacing w:after="0"/>
              <w:ind w:left="742" w:hanging="284"/>
              <w:jc w:val="both"/>
              <w:rPr>
                <w:rFonts w:ascii="Verdana" w:hAnsi="Verdana"/>
                <w:sz w:val="20"/>
                <w:szCs w:val="20"/>
                <w:lang w:val="pl-PL"/>
              </w:rPr>
            </w:pPr>
            <w:r w:rsidRPr="0075325D">
              <w:rPr>
                <w:rFonts w:ascii="Verdana" w:hAnsi="Verdana"/>
                <w:sz w:val="20"/>
                <w:szCs w:val="20"/>
                <w:lang w:val="pl-PL"/>
              </w:rPr>
              <w:t>finansijskog stanja Društva;</w:t>
            </w:r>
          </w:p>
          <w:p w14:paraId="43F5E42D" w14:textId="77777777" w:rsidR="00303431" w:rsidRPr="0075325D" w:rsidRDefault="00303431" w:rsidP="0075325D">
            <w:pPr>
              <w:pStyle w:val="ListParagraph"/>
              <w:spacing w:after="0"/>
              <w:ind w:left="742"/>
              <w:jc w:val="both"/>
              <w:rPr>
                <w:rFonts w:ascii="Verdana" w:hAnsi="Verdana"/>
                <w:sz w:val="20"/>
                <w:szCs w:val="20"/>
                <w:lang w:val="pl-PL"/>
              </w:rPr>
            </w:pPr>
          </w:p>
          <w:p w14:paraId="4B3F7600" w14:textId="77777777" w:rsidR="00303431" w:rsidRPr="0075325D" w:rsidRDefault="00303431" w:rsidP="0075325D">
            <w:pPr>
              <w:pStyle w:val="ListParagraph"/>
              <w:numPr>
                <w:ilvl w:val="0"/>
                <w:numId w:val="3"/>
              </w:numPr>
              <w:spacing w:after="0"/>
              <w:ind w:left="742" w:hanging="284"/>
              <w:jc w:val="both"/>
              <w:rPr>
                <w:rFonts w:ascii="Verdana" w:hAnsi="Verdana"/>
                <w:sz w:val="20"/>
                <w:szCs w:val="20"/>
                <w:lang w:val="pl-PL"/>
              </w:rPr>
            </w:pPr>
            <w:r w:rsidRPr="0075325D">
              <w:rPr>
                <w:rFonts w:ascii="Verdana" w:hAnsi="Verdana"/>
                <w:sz w:val="20"/>
                <w:szCs w:val="20"/>
                <w:lang w:val="pl-PL"/>
              </w:rPr>
              <w:t>ekonomskog okruženja u kome se Društvo nalazi;</w:t>
            </w:r>
          </w:p>
          <w:p w14:paraId="5C9ECE2B" w14:textId="77777777" w:rsidR="00303431" w:rsidRPr="0075325D" w:rsidRDefault="00303431" w:rsidP="0075325D">
            <w:pPr>
              <w:pStyle w:val="ListParagraph"/>
              <w:spacing w:after="0"/>
              <w:ind w:left="742"/>
              <w:jc w:val="both"/>
              <w:rPr>
                <w:rFonts w:ascii="Verdana" w:hAnsi="Verdana"/>
                <w:sz w:val="20"/>
                <w:szCs w:val="20"/>
                <w:lang w:val="pl-PL"/>
              </w:rPr>
            </w:pPr>
          </w:p>
          <w:p w14:paraId="53581E3D" w14:textId="7BA2AF7D" w:rsidR="00303431" w:rsidRPr="0075325D" w:rsidRDefault="00303431" w:rsidP="0075325D">
            <w:pPr>
              <w:pStyle w:val="ListParagraph"/>
              <w:numPr>
                <w:ilvl w:val="0"/>
                <w:numId w:val="3"/>
              </w:numPr>
              <w:spacing w:after="0"/>
              <w:ind w:left="742" w:hanging="284"/>
              <w:jc w:val="both"/>
              <w:rPr>
                <w:rFonts w:ascii="Verdana" w:hAnsi="Verdana"/>
                <w:sz w:val="20"/>
                <w:szCs w:val="20"/>
                <w:lang w:val="pl-PL"/>
              </w:rPr>
            </w:pPr>
            <w:r w:rsidRPr="0075325D">
              <w:rPr>
                <w:rFonts w:ascii="Verdana" w:hAnsi="Verdana"/>
                <w:sz w:val="20"/>
                <w:szCs w:val="20"/>
                <w:lang w:val="pl-PL"/>
              </w:rPr>
              <w:t>procene dosadašnjeg rada članova Izvršnog odbora, kao i Odbora u celini;</w:t>
            </w:r>
          </w:p>
          <w:p w14:paraId="768CE319" w14:textId="77777777" w:rsidR="00303431" w:rsidRPr="0075325D" w:rsidRDefault="00303431" w:rsidP="0075325D">
            <w:pPr>
              <w:spacing w:after="0"/>
              <w:jc w:val="both"/>
              <w:rPr>
                <w:rFonts w:ascii="Verdana" w:hAnsi="Verdana"/>
                <w:sz w:val="20"/>
                <w:szCs w:val="20"/>
                <w:lang w:val="pl-PL"/>
              </w:rPr>
            </w:pPr>
          </w:p>
          <w:p w14:paraId="15F1273A" w14:textId="3058F964" w:rsidR="00303431" w:rsidRPr="0075325D" w:rsidRDefault="00303431" w:rsidP="0075325D">
            <w:pPr>
              <w:pStyle w:val="ListParagraph"/>
              <w:numPr>
                <w:ilvl w:val="1"/>
                <w:numId w:val="2"/>
              </w:numPr>
              <w:spacing w:after="0"/>
              <w:ind w:left="459" w:hanging="425"/>
              <w:jc w:val="both"/>
              <w:rPr>
                <w:rFonts w:ascii="Verdana" w:hAnsi="Verdana"/>
                <w:sz w:val="20"/>
                <w:szCs w:val="20"/>
                <w:lang w:val="pl-PL"/>
              </w:rPr>
            </w:pPr>
            <w:r w:rsidRPr="0075325D">
              <w:rPr>
                <w:rFonts w:ascii="Verdana" w:hAnsi="Verdana"/>
                <w:sz w:val="20"/>
                <w:szCs w:val="20"/>
                <w:lang w:val="pl-PL"/>
              </w:rPr>
              <w:t xml:space="preserve">Članovi Izvršnog odbora mogu imati pravo i na zarade po osnovu doprinosa poslovnom uspehu </w:t>
            </w:r>
            <w:r w:rsidR="006343B0" w:rsidRPr="0075325D">
              <w:rPr>
                <w:rFonts w:ascii="Verdana" w:hAnsi="Verdana"/>
                <w:sz w:val="20"/>
                <w:szCs w:val="20"/>
                <w:lang w:val="pl-PL"/>
              </w:rPr>
              <w:t xml:space="preserve">Društva </w:t>
            </w:r>
            <w:r w:rsidRPr="0075325D">
              <w:rPr>
                <w:rFonts w:ascii="Verdana" w:hAnsi="Verdana"/>
                <w:sz w:val="20"/>
                <w:szCs w:val="20"/>
                <w:lang w:val="pl-PL"/>
              </w:rPr>
              <w:t xml:space="preserve">(nagrade, bonusi i sl.) kao i na eventualna druga primanja u skladu sa Zakonom o radu, ugovorima o radu odnosno ugovorima o regulisanju međusobnih prava i obaveza i odlukom Nadzornog odbora. </w:t>
            </w:r>
          </w:p>
          <w:p w14:paraId="5F7A9A56" w14:textId="77777777" w:rsidR="00303431" w:rsidRPr="0075325D" w:rsidRDefault="00303431" w:rsidP="0075325D">
            <w:pPr>
              <w:spacing w:after="0"/>
              <w:rPr>
                <w:rFonts w:ascii="Verdana" w:hAnsi="Verdana"/>
                <w:b/>
                <w:sz w:val="20"/>
                <w:szCs w:val="20"/>
                <w:lang w:val="pl-PL"/>
              </w:rPr>
            </w:pPr>
          </w:p>
          <w:p w14:paraId="2F08869C" w14:textId="1303F594" w:rsidR="00303431" w:rsidRDefault="00303431" w:rsidP="0075325D">
            <w:pPr>
              <w:spacing w:after="0"/>
              <w:rPr>
                <w:rFonts w:ascii="Verdana" w:hAnsi="Verdana"/>
                <w:b/>
                <w:sz w:val="20"/>
                <w:szCs w:val="20"/>
                <w:lang w:val="pl-PL"/>
              </w:rPr>
            </w:pPr>
          </w:p>
          <w:p w14:paraId="19F0D894" w14:textId="77777777" w:rsidR="0079740F" w:rsidRPr="0075325D" w:rsidRDefault="0079740F" w:rsidP="0075325D">
            <w:pPr>
              <w:spacing w:after="0"/>
              <w:rPr>
                <w:rFonts w:ascii="Verdana" w:hAnsi="Verdana"/>
                <w:b/>
                <w:sz w:val="20"/>
                <w:szCs w:val="20"/>
                <w:lang w:val="pl-PL"/>
              </w:rPr>
            </w:pPr>
          </w:p>
          <w:p w14:paraId="7520D8FF" w14:textId="77777777" w:rsidR="00303431" w:rsidRPr="0075325D" w:rsidRDefault="00303431" w:rsidP="0075325D">
            <w:pPr>
              <w:pStyle w:val="ListParagraph"/>
              <w:numPr>
                <w:ilvl w:val="0"/>
                <w:numId w:val="2"/>
              </w:numPr>
              <w:spacing w:after="0"/>
              <w:ind w:left="459" w:hanging="141"/>
              <w:jc w:val="both"/>
              <w:rPr>
                <w:rFonts w:ascii="Verdana" w:hAnsi="Verdana"/>
                <w:b/>
                <w:sz w:val="20"/>
                <w:szCs w:val="20"/>
                <w:lang w:val="pl-PL"/>
              </w:rPr>
            </w:pPr>
            <w:r w:rsidRPr="0075325D">
              <w:rPr>
                <w:rFonts w:ascii="Verdana" w:hAnsi="Verdana"/>
                <w:b/>
                <w:sz w:val="20"/>
                <w:szCs w:val="20"/>
                <w:lang w:val="pl-PL"/>
              </w:rPr>
              <w:t>ZAVRŠNE ODREDBE</w:t>
            </w:r>
          </w:p>
          <w:p w14:paraId="0831B609" w14:textId="77777777" w:rsidR="00303431" w:rsidRPr="0075325D" w:rsidRDefault="00303431" w:rsidP="0075325D">
            <w:pPr>
              <w:spacing w:after="0"/>
              <w:jc w:val="both"/>
              <w:rPr>
                <w:rFonts w:ascii="Verdana" w:hAnsi="Verdana"/>
                <w:sz w:val="20"/>
                <w:szCs w:val="20"/>
                <w:lang w:val="pl-PL"/>
              </w:rPr>
            </w:pPr>
          </w:p>
          <w:p w14:paraId="7621336F" w14:textId="77777777" w:rsidR="00303431" w:rsidRPr="0075325D" w:rsidRDefault="00303431" w:rsidP="0075325D">
            <w:pPr>
              <w:pStyle w:val="ListParagraph"/>
              <w:numPr>
                <w:ilvl w:val="1"/>
                <w:numId w:val="2"/>
              </w:numPr>
              <w:spacing w:after="0"/>
              <w:ind w:left="459" w:hanging="425"/>
              <w:jc w:val="both"/>
              <w:rPr>
                <w:rFonts w:ascii="Verdana" w:hAnsi="Verdana"/>
                <w:sz w:val="20"/>
                <w:szCs w:val="20"/>
                <w:lang w:val="pl-PL"/>
              </w:rPr>
            </w:pPr>
            <w:r w:rsidRPr="0075325D">
              <w:rPr>
                <w:rFonts w:ascii="Verdana" w:hAnsi="Verdana"/>
                <w:sz w:val="20"/>
                <w:szCs w:val="20"/>
                <w:lang w:val="pl-PL"/>
              </w:rPr>
              <w:t>Politika naknada će biti predmet periodičnog preispitivanja, odnosno usklađivanja sa potrebama, mogućnostima i interesima Društva.</w:t>
            </w:r>
          </w:p>
          <w:p w14:paraId="72BF240E" w14:textId="77777777" w:rsidR="00303431" w:rsidRPr="0075325D" w:rsidRDefault="00303431" w:rsidP="0075325D">
            <w:pPr>
              <w:spacing w:after="0"/>
              <w:jc w:val="both"/>
              <w:rPr>
                <w:rFonts w:ascii="Verdana" w:hAnsi="Verdana"/>
                <w:sz w:val="20"/>
                <w:szCs w:val="20"/>
                <w:lang w:val="pl-PL"/>
              </w:rPr>
            </w:pPr>
          </w:p>
          <w:p w14:paraId="29D71B4F" w14:textId="77777777" w:rsidR="00303431" w:rsidRPr="0075325D" w:rsidRDefault="00303431" w:rsidP="0075325D">
            <w:pPr>
              <w:spacing w:after="0"/>
              <w:jc w:val="both"/>
              <w:rPr>
                <w:rFonts w:ascii="Verdana" w:hAnsi="Verdana"/>
                <w:sz w:val="20"/>
                <w:szCs w:val="20"/>
                <w:lang w:val="pl-PL"/>
              </w:rPr>
            </w:pPr>
          </w:p>
          <w:p w14:paraId="3C3F60AB" w14:textId="77777777" w:rsidR="00303431" w:rsidRPr="0075325D" w:rsidRDefault="00303431" w:rsidP="0075325D">
            <w:pPr>
              <w:pStyle w:val="ListParagraph"/>
              <w:numPr>
                <w:ilvl w:val="1"/>
                <w:numId w:val="2"/>
              </w:numPr>
              <w:spacing w:after="0"/>
              <w:ind w:left="459" w:hanging="425"/>
              <w:jc w:val="both"/>
              <w:rPr>
                <w:rFonts w:ascii="Verdana" w:hAnsi="Verdana"/>
                <w:sz w:val="20"/>
                <w:szCs w:val="20"/>
                <w:lang w:val="pl-PL"/>
              </w:rPr>
            </w:pPr>
            <w:r w:rsidRPr="0075325D">
              <w:rPr>
                <w:rFonts w:ascii="Verdana" w:hAnsi="Verdana"/>
                <w:sz w:val="20"/>
                <w:szCs w:val="20"/>
                <w:lang w:val="pl-PL"/>
              </w:rPr>
              <w:t>Politika naknada menja se odlukom Skupštine akcionara Društva.</w:t>
            </w:r>
          </w:p>
          <w:p w14:paraId="666C5816" w14:textId="77777777" w:rsidR="00303431" w:rsidRPr="0075325D" w:rsidRDefault="00303431" w:rsidP="0075325D">
            <w:pPr>
              <w:spacing w:after="0"/>
              <w:jc w:val="both"/>
              <w:rPr>
                <w:rFonts w:ascii="Verdana" w:hAnsi="Verdana"/>
                <w:sz w:val="20"/>
                <w:szCs w:val="20"/>
                <w:lang w:val="pl-PL"/>
              </w:rPr>
            </w:pPr>
          </w:p>
          <w:p w14:paraId="66FB75C1" w14:textId="77777777" w:rsidR="00303431" w:rsidRPr="0075325D" w:rsidRDefault="00303431" w:rsidP="0075325D">
            <w:pPr>
              <w:spacing w:after="0"/>
              <w:jc w:val="both"/>
              <w:rPr>
                <w:rFonts w:ascii="Verdana" w:hAnsi="Verdana"/>
                <w:sz w:val="20"/>
                <w:szCs w:val="20"/>
                <w:lang w:val="pl-PL"/>
              </w:rPr>
            </w:pPr>
          </w:p>
          <w:p w14:paraId="57E15856" w14:textId="77777777" w:rsidR="00303431" w:rsidRPr="0075325D" w:rsidRDefault="00303431" w:rsidP="0075325D">
            <w:pPr>
              <w:pStyle w:val="ListParagraph"/>
              <w:numPr>
                <w:ilvl w:val="1"/>
                <w:numId w:val="2"/>
              </w:numPr>
              <w:spacing w:after="0"/>
              <w:ind w:left="459" w:hanging="425"/>
              <w:jc w:val="both"/>
              <w:rPr>
                <w:rFonts w:ascii="Verdana" w:hAnsi="Verdana"/>
                <w:sz w:val="20"/>
                <w:szCs w:val="20"/>
                <w:lang w:val="pl-PL"/>
              </w:rPr>
            </w:pPr>
            <w:r w:rsidRPr="0075325D">
              <w:rPr>
                <w:rFonts w:ascii="Verdana" w:hAnsi="Verdana"/>
                <w:sz w:val="20"/>
                <w:szCs w:val="20"/>
                <w:lang w:val="pl-PL"/>
              </w:rPr>
              <w:t>Ova odluka stupa na snagu danom donošenja.</w:t>
            </w:r>
          </w:p>
          <w:p w14:paraId="7B06B24E" w14:textId="77777777" w:rsidR="00303431" w:rsidRPr="00305FBB" w:rsidRDefault="00303431" w:rsidP="0075325D">
            <w:pPr>
              <w:pStyle w:val="NoSpacing"/>
              <w:spacing w:line="276" w:lineRule="auto"/>
              <w:rPr>
                <w:rFonts w:ascii="Verdana" w:hAnsi="Verdana"/>
                <w:b/>
                <w:bCs/>
                <w:sz w:val="20"/>
                <w:szCs w:val="20"/>
                <w:lang w:val="pl-PL"/>
              </w:rPr>
            </w:pPr>
          </w:p>
          <w:p w14:paraId="4AF35D16" w14:textId="26E17AB9" w:rsidR="00303431" w:rsidRPr="0003799F" w:rsidRDefault="0003799F" w:rsidP="0075325D">
            <w:pPr>
              <w:pStyle w:val="NoSpacing"/>
              <w:spacing w:line="276" w:lineRule="auto"/>
              <w:rPr>
                <w:rFonts w:ascii="Verdana" w:hAnsi="Verdana"/>
                <w:sz w:val="20"/>
                <w:szCs w:val="20"/>
                <w:lang w:val="de-DE"/>
              </w:rPr>
            </w:pPr>
            <w:r w:rsidRPr="0003799F">
              <w:rPr>
                <w:rFonts w:ascii="Verdana" w:hAnsi="Verdana"/>
                <w:sz w:val="20"/>
                <w:szCs w:val="20"/>
                <w:lang w:val="de-DE"/>
              </w:rPr>
              <w:t xml:space="preserve">U </w:t>
            </w:r>
            <w:proofErr w:type="spellStart"/>
            <w:r w:rsidRPr="0003799F">
              <w:rPr>
                <w:rFonts w:ascii="Verdana" w:hAnsi="Verdana"/>
                <w:sz w:val="20"/>
                <w:szCs w:val="20"/>
                <w:lang w:val="de-DE"/>
              </w:rPr>
              <w:t>Apatinu</w:t>
            </w:r>
            <w:proofErr w:type="spellEnd"/>
            <w:r w:rsidRPr="0003799F">
              <w:rPr>
                <w:rFonts w:ascii="Verdana" w:hAnsi="Verdana"/>
                <w:sz w:val="20"/>
                <w:szCs w:val="20"/>
                <w:lang w:val="de-DE"/>
              </w:rPr>
              <w:t xml:space="preserve">, </w:t>
            </w:r>
            <w:proofErr w:type="spellStart"/>
            <w:r w:rsidRPr="0003799F">
              <w:rPr>
                <w:rFonts w:ascii="Verdana" w:hAnsi="Verdana"/>
                <w:sz w:val="20"/>
                <w:szCs w:val="20"/>
                <w:lang w:val="de-DE"/>
              </w:rPr>
              <w:t>dana</w:t>
            </w:r>
            <w:proofErr w:type="spellEnd"/>
            <w:r w:rsidRPr="0003799F">
              <w:rPr>
                <w:rFonts w:ascii="Verdana" w:hAnsi="Verdana"/>
                <w:sz w:val="20"/>
                <w:szCs w:val="20"/>
                <w:lang w:val="de-DE"/>
              </w:rPr>
              <w:t xml:space="preserve"> [</w:t>
            </w:r>
            <w:proofErr w:type="spellStart"/>
            <w:r w:rsidRPr="0003799F">
              <w:rPr>
                <w:rFonts w:ascii="Verdana" w:hAnsi="Verdana"/>
                <w:sz w:val="20"/>
                <w:szCs w:val="20"/>
                <w:highlight w:val="cyan"/>
                <w:lang w:val="de-DE"/>
              </w:rPr>
              <w:t>uneti</w:t>
            </w:r>
            <w:proofErr w:type="spellEnd"/>
            <w:r w:rsidRPr="0003799F">
              <w:rPr>
                <w:rFonts w:ascii="Verdana" w:hAnsi="Verdana"/>
                <w:sz w:val="20"/>
                <w:szCs w:val="20"/>
                <w:lang w:val="de-DE"/>
              </w:rPr>
              <w:t>]</w:t>
            </w:r>
          </w:p>
          <w:p w14:paraId="332DDA55" w14:textId="7C7D17B7" w:rsidR="0003799F" w:rsidRDefault="0003799F" w:rsidP="0075325D">
            <w:pPr>
              <w:pStyle w:val="NoSpacing"/>
              <w:spacing w:line="276" w:lineRule="auto"/>
              <w:rPr>
                <w:rFonts w:ascii="Verdana" w:hAnsi="Verdana"/>
                <w:b/>
                <w:bCs/>
                <w:sz w:val="20"/>
                <w:szCs w:val="20"/>
                <w:lang w:val="de-DE"/>
              </w:rPr>
            </w:pPr>
          </w:p>
          <w:p w14:paraId="6603BFF7" w14:textId="77777777" w:rsidR="0003799F" w:rsidRPr="0075325D" w:rsidRDefault="0003799F" w:rsidP="0075325D">
            <w:pPr>
              <w:pStyle w:val="NoSpacing"/>
              <w:spacing w:line="276" w:lineRule="auto"/>
              <w:rPr>
                <w:rFonts w:ascii="Verdana" w:hAnsi="Verdana"/>
                <w:b/>
                <w:bCs/>
                <w:sz w:val="20"/>
                <w:szCs w:val="20"/>
                <w:lang w:val="de-DE"/>
              </w:rPr>
            </w:pPr>
          </w:p>
          <w:p w14:paraId="7546ED7B" w14:textId="77777777" w:rsidR="00303431" w:rsidRPr="0075325D" w:rsidRDefault="00303431" w:rsidP="0075325D">
            <w:pPr>
              <w:pStyle w:val="NoSpacing"/>
              <w:spacing w:line="276" w:lineRule="auto"/>
              <w:jc w:val="center"/>
              <w:rPr>
                <w:rFonts w:ascii="Verdana" w:hAnsi="Verdana"/>
                <w:b/>
                <w:bCs/>
                <w:sz w:val="20"/>
                <w:szCs w:val="20"/>
                <w:lang w:val="de-DE"/>
              </w:rPr>
            </w:pPr>
            <w:r w:rsidRPr="0075325D">
              <w:rPr>
                <w:rFonts w:ascii="Verdana" w:hAnsi="Verdana"/>
                <w:b/>
                <w:bCs/>
                <w:sz w:val="20"/>
                <w:szCs w:val="20"/>
                <w:lang w:val="de-DE"/>
              </w:rPr>
              <w:t>PREDSEDNIK SKUPŠTINE AKCIONARA</w:t>
            </w:r>
          </w:p>
          <w:p w14:paraId="3D117561" w14:textId="77777777" w:rsidR="00303431" w:rsidRPr="0075325D" w:rsidRDefault="00303431" w:rsidP="0075325D">
            <w:pPr>
              <w:pStyle w:val="NoSpacing"/>
              <w:spacing w:line="276" w:lineRule="auto"/>
              <w:rPr>
                <w:rFonts w:ascii="Verdana" w:hAnsi="Verdana"/>
                <w:b/>
                <w:bCs/>
                <w:sz w:val="20"/>
                <w:szCs w:val="20"/>
                <w:lang w:val="de-DE"/>
              </w:rPr>
            </w:pPr>
          </w:p>
          <w:p w14:paraId="61D0E114" w14:textId="77777777" w:rsidR="00303431" w:rsidRPr="0075325D" w:rsidRDefault="00303431" w:rsidP="0075325D">
            <w:pPr>
              <w:pStyle w:val="NoSpacing"/>
              <w:spacing w:line="276" w:lineRule="auto"/>
              <w:rPr>
                <w:rFonts w:ascii="Verdana" w:hAnsi="Verdana"/>
                <w:b/>
                <w:bCs/>
                <w:sz w:val="20"/>
                <w:szCs w:val="20"/>
                <w:lang w:val="de-DE"/>
              </w:rPr>
            </w:pPr>
          </w:p>
          <w:p w14:paraId="2557AA1D" w14:textId="77777777" w:rsidR="00303431" w:rsidRPr="0075325D" w:rsidRDefault="00303431" w:rsidP="0075325D">
            <w:pPr>
              <w:pStyle w:val="NoSpacing"/>
              <w:spacing w:line="276" w:lineRule="auto"/>
              <w:jc w:val="center"/>
              <w:rPr>
                <w:rFonts w:ascii="Verdana" w:hAnsi="Verdana"/>
                <w:b/>
                <w:bCs/>
                <w:sz w:val="20"/>
                <w:szCs w:val="20"/>
                <w:lang w:val="de-DE"/>
              </w:rPr>
            </w:pPr>
            <w:r w:rsidRPr="0075325D">
              <w:rPr>
                <w:rFonts w:ascii="Verdana" w:hAnsi="Verdana"/>
                <w:b/>
                <w:bCs/>
                <w:sz w:val="20"/>
                <w:szCs w:val="20"/>
                <w:lang w:val="de-DE"/>
              </w:rPr>
              <w:t>________________________</w:t>
            </w:r>
          </w:p>
          <w:p w14:paraId="68B395EA" w14:textId="77777777" w:rsidR="00305FBB" w:rsidRPr="00AB7C50" w:rsidRDefault="00305FBB" w:rsidP="00305FBB">
            <w:pPr>
              <w:jc w:val="center"/>
              <w:rPr>
                <w:rFonts w:ascii="Verdana" w:hAnsi="Verdana" w:cs="Arial"/>
                <w:b/>
                <w:bCs/>
                <w:sz w:val="20"/>
                <w:szCs w:val="20"/>
                <w:lang w:val="sr-Latn-RS"/>
              </w:rPr>
            </w:pPr>
            <w:r>
              <w:rPr>
                <w:rFonts w:ascii="Verdana" w:hAnsi="Verdana" w:cs="Arial"/>
                <w:b/>
                <w:bCs/>
                <w:sz w:val="20"/>
                <w:szCs w:val="20"/>
                <w:lang w:val="sr-Latn-RS"/>
              </w:rPr>
              <w:t>[●]</w:t>
            </w:r>
          </w:p>
          <w:p w14:paraId="78147CB9" w14:textId="77777777" w:rsidR="00303431" w:rsidRPr="0075325D" w:rsidRDefault="00303431" w:rsidP="0075325D">
            <w:pPr>
              <w:spacing w:after="0"/>
              <w:rPr>
                <w:rFonts w:ascii="Verdana" w:hAnsi="Verdana"/>
                <w:sz w:val="20"/>
                <w:szCs w:val="20"/>
              </w:rPr>
            </w:pPr>
          </w:p>
        </w:tc>
        <w:tc>
          <w:tcPr>
            <w:tcW w:w="4508" w:type="dxa"/>
          </w:tcPr>
          <w:p w14:paraId="082FC409" w14:textId="6E66B7C0" w:rsidR="00303431" w:rsidRPr="0075325D" w:rsidRDefault="00303431" w:rsidP="0075325D">
            <w:pPr>
              <w:spacing w:after="0"/>
              <w:jc w:val="both"/>
              <w:rPr>
                <w:rFonts w:ascii="Verdana" w:hAnsi="Verdana"/>
                <w:sz w:val="20"/>
                <w:szCs w:val="20"/>
              </w:rPr>
            </w:pPr>
            <w:r w:rsidRPr="0075325D">
              <w:rPr>
                <w:rFonts w:ascii="Verdana" w:hAnsi="Verdana"/>
                <w:sz w:val="20"/>
                <w:szCs w:val="20"/>
              </w:rPr>
              <w:lastRenderedPageBreak/>
              <w:t xml:space="preserve">Pursuant to the provisions of the Law on Business Companies („Official gazette of the Republic of Serbia, nos. 36/2011, 99/2011, 83/2014 – other law i 5/2015, 44/2018, 95/2018 and 91/2019) (hereinafter referred to as: the </w:t>
            </w:r>
            <w:r w:rsidRPr="0075325D">
              <w:rPr>
                <w:rFonts w:ascii="Verdana" w:hAnsi="Verdana"/>
                <w:b/>
                <w:sz w:val="20"/>
                <w:szCs w:val="20"/>
              </w:rPr>
              <w:t>“Law”</w:t>
            </w:r>
            <w:r w:rsidRPr="0075325D">
              <w:rPr>
                <w:rFonts w:ascii="Verdana" w:hAnsi="Verdana"/>
                <w:sz w:val="20"/>
                <w:szCs w:val="20"/>
              </w:rPr>
              <w:t xml:space="preserve">) and Statute of PGP RAPID AD APATIN, with its registered seat at the address bb Industrijska zona Street, 25260, Apatin, the Republic of Serbia, registration number: 08027714  (hereinafter: the </w:t>
            </w:r>
            <w:r w:rsidRPr="0075325D">
              <w:rPr>
                <w:rFonts w:ascii="Verdana" w:hAnsi="Verdana"/>
                <w:b/>
                <w:sz w:val="20"/>
                <w:szCs w:val="20"/>
              </w:rPr>
              <w:t>“Company”</w:t>
            </w:r>
            <w:r w:rsidRPr="0075325D">
              <w:rPr>
                <w:rFonts w:ascii="Verdana" w:hAnsi="Verdana"/>
                <w:sz w:val="20"/>
                <w:szCs w:val="20"/>
              </w:rPr>
              <w:t xml:space="preserve">), the General Meeting of the Company at the </w:t>
            </w:r>
            <w:r w:rsidR="0003799F">
              <w:rPr>
                <w:rFonts w:ascii="Verdana" w:hAnsi="Verdana"/>
                <w:sz w:val="20"/>
                <w:szCs w:val="20"/>
              </w:rPr>
              <w:t>regular</w:t>
            </w:r>
            <w:r w:rsidRPr="0075325D">
              <w:rPr>
                <w:rFonts w:ascii="Verdana" w:hAnsi="Verdana"/>
                <w:sz w:val="20"/>
                <w:szCs w:val="20"/>
              </w:rPr>
              <w:t xml:space="preserve"> session held on </w:t>
            </w:r>
            <w:r w:rsidR="0079740F">
              <w:rPr>
                <w:rFonts w:ascii="Verdana" w:hAnsi="Verdana"/>
                <w:sz w:val="20"/>
                <w:szCs w:val="20"/>
              </w:rPr>
              <w:t>[</w:t>
            </w:r>
            <w:r w:rsidR="0079740F" w:rsidRPr="0079740F">
              <w:rPr>
                <w:rFonts w:ascii="Verdana" w:hAnsi="Verdana"/>
                <w:sz w:val="20"/>
                <w:szCs w:val="20"/>
                <w:highlight w:val="cyan"/>
              </w:rPr>
              <w:t>insert</w:t>
            </w:r>
            <w:r w:rsidR="0079740F">
              <w:rPr>
                <w:rFonts w:ascii="Verdana" w:hAnsi="Verdana"/>
                <w:sz w:val="20"/>
                <w:szCs w:val="20"/>
              </w:rPr>
              <w:t>]</w:t>
            </w:r>
            <w:r w:rsidRPr="0075325D">
              <w:rPr>
                <w:rFonts w:ascii="Verdana" w:hAnsi="Verdana"/>
                <w:sz w:val="20"/>
                <w:szCs w:val="20"/>
              </w:rPr>
              <w:t xml:space="preserve"> rendered the following:</w:t>
            </w:r>
          </w:p>
          <w:p w14:paraId="2B8048FD" w14:textId="77777777" w:rsidR="00303431" w:rsidRPr="0075325D" w:rsidRDefault="00303431" w:rsidP="0075325D">
            <w:pPr>
              <w:spacing w:after="0"/>
              <w:jc w:val="both"/>
              <w:rPr>
                <w:rFonts w:ascii="Verdana" w:hAnsi="Verdana"/>
                <w:sz w:val="20"/>
                <w:szCs w:val="20"/>
              </w:rPr>
            </w:pPr>
          </w:p>
          <w:p w14:paraId="737CE2D4" w14:textId="77777777" w:rsidR="00303431" w:rsidRPr="0075325D" w:rsidRDefault="00303431" w:rsidP="0075325D">
            <w:pPr>
              <w:spacing w:after="0"/>
              <w:jc w:val="center"/>
              <w:rPr>
                <w:rFonts w:ascii="Verdana" w:hAnsi="Verdana"/>
                <w:b/>
                <w:sz w:val="20"/>
                <w:szCs w:val="20"/>
              </w:rPr>
            </w:pPr>
            <w:r w:rsidRPr="0075325D">
              <w:rPr>
                <w:rFonts w:ascii="Verdana" w:hAnsi="Verdana"/>
                <w:b/>
                <w:sz w:val="20"/>
                <w:szCs w:val="20"/>
              </w:rPr>
              <w:t>DECISION ON</w:t>
            </w:r>
          </w:p>
          <w:p w14:paraId="1916E5D0" w14:textId="77777777" w:rsidR="00303431" w:rsidRPr="0075325D" w:rsidRDefault="00303431" w:rsidP="0075325D">
            <w:pPr>
              <w:spacing w:after="0"/>
              <w:jc w:val="center"/>
              <w:rPr>
                <w:rFonts w:ascii="Verdana" w:hAnsi="Verdana"/>
                <w:sz w:val="20"/>
                <w:szCs w:val="20"/>
              </w:rPr>
            </w:pPr>
            <w:r w:rsidRPr="0075325D">
              <w:rPr>
                <w:rFonts w:ascii="Verdana" w:hAnsi="Verdana"/>
                <w:b/>
                <w:sz w:val="20"/>
                <w:szCs w:val="20"/>
              </w:rPr>
              <w:t>REMUNERATIONS’ POLICY OF THE SUPERVISORY AND EXECUTIVE BORAD MEMEBRS</w:t>
            </w:r>
          </w:p>
          <w:p w14:paraId="1E7B2DB6" w14:textId="77777777" w:rsidR="00303431" w:rsidRPr="0075325D" w:rsidRDefault="00303431" w:rsidP="0075325D">
            <w:pPr>
              <w:spacing w:after="0"/>
              <w:jc w:val="both"/>
              <w:rPr>
                <w:rFonts w:ascii="Verdana" w:hAnsi="Verdana"/>
                <w:sz w:val="20"/>
                <w:szCs w:val="20"/>
              </w:rPr>
            </w:pPr>
          </w:p>
          <w:p w14:paraId="76956E17" w14:textId="77777777" w:rsidR="00303431" w:rsidRPr="0075325D" w:rsidRDefault="00303431" w:rsidP="0075325D">
            <w:pPr>
              <w:pStyle w:val="ListParagraph"/>
              <w:numPr>
                <w:ilvl w:val="0"/>
                <w:numId w:val="4"/>
              </w:numPr>
              <w:spacing w:after="0"/>
              <w:ind w:left="352" w:hanging="352"/>
              <w:jc w:val="both"/>
              <w:rPr>
                <w:rFonts w:ascii="Verdana" w:hAnsi="Verdana"/>
                <w:b/>
                <w:sz w:val="20"/>
                <w:szCs w:val="20"/>
              </w:rPr>
            </w:pPr>
            <w:r w:rsidRPr="0075325D">
              <w:rPr>
                <w:rFonts w:ascii="Verdana" w:hAnsi="Verdana"/>
                <w:b/>
                <w:sz w:val="20"/>
                <w:szCs w:val="20"/>
              </w:rPr>
              <w:t>INTRODUCTION</w:t>
            </w:r>
          </w:p>
          <w:p w14:paraId="5DAD536D" w14:textId="77777777" w:rsidR="00303431" w:rsidRPr="0075325D" w:rsidRDefault="00303431" w:rsidP="0075325D">
            <w:pPr>
              <w:spacing w:after="0"/>
              <w:jc w:val="both"/>
              <w:rPr>
                <w:rFonts w:ascii="Verdana" w:hAnsi="Verdana"/>
                <w:sz w:val="20"/>
                <w:szCs w:val="20"/>
              </w:rPr>
            </w:pPr>
          </w:p>
          <w:p w14:paraId="5D666C2A" w14:textId="77777777" w:rsidR="00303431" w:rsidRPr="0075325D" w:rsidRDefault="00303431" w:rsidP="0075325D">
            <w:pPr>
              <w:pStyle w:val="ListParagraph"/>
              <w:numPr>
                <w:ilvl w:val="1"/>
                <w:numId w:val="4"/>
              </w:numPr>
              <w:spacing w:after="0"/>
              <w:ind w:left="442" w:hanging="442"/>
              <w:jc w:val="both"/>
              <w:rPr>
                <w:rFonts w:ascii="Verdana" w:hAnsi="Verdana"/>
                <w:sz w:val="20"/>
                <w:szCs w:val="20"/>
              </w:rPr>
            </w:pPr>
            <w:r w:rsidRPr="0075325D">
              <w:rPr>
                <w:rFonts w:ascii="Verdana" w:hAnsi="Verdana"/>
                <w:sz w:val="20"/>
                <w:szCs w:val="20"/>
              </w:rPr>
              <w:t>The General Meeting determines the remunerations’ policy of the Supervisory and Executive Board members (</w:t>
            </w:r>
            <w:r w:rsidRPr="0075325D">
              <w:rPr>
                <w:rFonts w:ascii="Verdana" w:hAnsi="Verdana"/>
                <w:b/>
                <w:sz w:val="20"/>
                <w:szCs w:val="20"/>
              </w:rPr>
              <w:t>“Remuneration Policy”</w:t>
            </w:r>
            <w:r w:rsidRPr="0075325D">
              <w:rPr>
                <w:rFonts w:ascii="Verdana" w:hAnsi="Verdana"/>
                <w:sz w:val="20"/>
                <w:szCs w:val="20"/>
              </w:rPr>
              <w:t>) for their work and engagement in performing the duties within their competencies prescribed by the Law and the Statute of the Company.</w:t>
            </w:r>
          </w:p>
          <w:p w14:paraId="3D5072DB" w14:textId="77777777" w:rsidR="00303431" w:rsidRPr="0075325D" w:rsidRDefault="00303431" w:rsidP="0075325D">
            <w:pPr>
              <w:pStyle w:val="ListParagraph"/>
              <w:spacing w:after="0"/>
              <w:ind w:left="442"/>
              <w:jc w:val="both"/>
              <w:rPr>
                <w:rFonts w:ascii="Verdana" w:hAnsi="Verdana"/>
                <w:sz w:val="20"/>
                <w:szCs w:val="20"/>
              </w:rPr>
            </w:pPr>
          </w:p>
          <w:p w14:paraId="52530F1A" w14:textId="77777777" w:rsidR="00303431" w:rsidRPr="0075325D" w:rsidRDefault="00303431" w:rsidP="0075325D">
            <w:pPr>
              <w:pStyle w:val="ListParagraph"/>
              <w:numPr>
                <w:ilvl w:val="1"/>
                <w:numId w:val="4"/>
              </w:numPr>
              <w:spacing w:after="0"/>
              <w:ind w:left="442" w:hanging="442"/>
              <w:jc w:val="both"/>
              <w:rPr>
                <w:rFonts w:ascii="Verdana" w:hAnsi="Verdana"/>
                <w:sz w:val="20"/>
                <w:szCs w:val="20"/>
              </w:rPr>
            </w:pPr>
            <w:r w:rsidRPr="0075325D">
              <w:rPr>
                <w:rFonts w:ascii="Verdana" w:hAnsi="Verdana"/>
                <w:sz w:val="20"/>
                <w:szCs w:val="20"/>
              </w:rPr>
              <w:t>Remunerations’ Policy is based upon the laws and recommendations of domestic and international good corporate governance practice and the aim of its adoptions and implementation is to motivate the members of the Supervisory and Executive Board to perform their functions actively and responsibly so that, ultimately, overall performance of the boards is successful.</w:t>
            </w:r>
          </w:p>
          <w:p w14:paraId="57774697" w14:textId="77777777" w:rsidR="00303431" w:rsidRPr="0075325D" w:rsidRDefault="00303431" w:rsidP="0075325D">
            <w:pPr>
              <w:pStyle w:val="ListParagraph"/>
              <w:spacing w:after="0"/>
              <w:ind w:left="442"/>
              <w:jc w:val="both"/>
              <w:rPr>
                <w:rFonts w:ascii="Verdana" w:hAnsi="Verdana"/>
                <w:sz w:val="20"/>
                <w:szCs w:val="20"/>
              </w:rPr>
            </w:pPr>
          </w:p>
          <w:p w14:paraId="58CC7A59" w14:textId="2819931A" w:rsidR="00303431" w:rsidRDefault="00303431" w:rsidP="0079740F">
            <w:pPr>
              <w:pStyle w:val="ListParagraph"/>
              <w:numPr>
                <w:ilvl w:val="0"/>
                <w:numId w:val="4"/>
              </w:numPr>
              <w:spacing w:after="0"/>
              <w:ind w:left="352" w:hanging="352"/>
              <w:jc w:val="both"/>
              <w:rPr>
                <w:rFonts w:ascii="Verdana" w:hAnsi="Verdana"/>
                <w:b/>
                <w:sz w:val="20"/>
                <w:szCs w:val="20"/>
              </w:rPr>
            </w:pPr>
            <w:r w:rsidRPr="0075325D">
              <w:rPr>
                <w:rFonts w:ascii="Verdana" w:hAnsi="Verdana"/>
                <w:b/>
                <w:sz w:val="20"/>
                <w:szCs w:val="20"/>
              </w:rPr>
              <w:t>REMUNERATION</w:t>
            </w:r>
            <w:r w:rsidR="0079740F">
              <w:rPr>
                <w:rFonts w:ascii="Verdana" w:hAnsi="Verdana"/>
                <w:b/>
                <w:sz w:val="20"/>
                <w:szCs w:val="20"/>
              </w:rPr>
              <w:t xml:space="preserve"> SYSTEM</w:t>
            </w:r>
            <w:r w:rsidRPr="0075325D">
              <w:rPr>
                <w:rFonts w:ascii="Verdana" w:hAnsi="Verdana"/>
                <w:b/>
                <w:sz w:val="20"/>
                <w:szCs w:val="20"/>
              </w:rPr>
              <w:t xml:space="preserve"> </w:t>
            </w:r>
            <w:r w:rsidR="0079740F">
              <w:rPr>
                <w:rFonts w:ascii="Verdana" w:hAnsi="Verdana"/>
                <w:b/>
                <w:sz w:val="20"/>
                <w:szCs w:val="20"/>
              </w:rPr>
              <w:t>FOR</w:t>
            </w:r>
            <w:r w:rsidRPr="0075325D">
              <w:rPr>
                <w:rFonts w:ascii="Verdana" w:hAnsi="Verdana"/>
                <w:b/>
                <w:sz w:val="20"/>
                <w:szCs w:val="20"/>
              </w:rPr>
              <w:t xml:space="preserve"> THE SUPERVISORY BOARD MEMBERS</w:t>
            </w:r>
          </w:p>
          <w:p w14:paraId="782D1E7D" w14:textId="77777777" w:rsidR="0079740F" w:rsidRPr="0079740F" w:rsidRDefault="0079740F" w:rsidP="0079740F">
            <w:pPr>
              <w:pStyle w:val="ListParagraph"/>
              <w:spacing w:after="0"/>
              <w:ind w:left="352"/>
              <w:jc w:val="both"/>
              <w:rPr>
                <w:rFonts w:ascii="Verdana" w:hAnsi="Verdana"/>
                <w:b/>
                <w:sz w:val="20"/>
                <w:szCs w:val="20"/>
              </w:rPr>
            </w:pPr>
          </w:p>
          <w:p w14:paraId="06BE25FB" w14:textId="77777777" w:rsidR="00303431" w:rsidRPr="0075325D" w:rsidRDefault="00303431" w:rsidP="0075325D">
            <w:pPr>
              <w:pStyle w:val="ListParagraph"/>
              <w:numPr>
                <w:ilvl w:val="1"/>
                <w:numId w:val="4"/>
              </w:numPr>
              <w:spacing w:after="0"/>
              <w:ind w:left="442" w:hanging="442"/>
              <w:jc w:val="both"/>
              <w:rPr>
                <w:rFonts w:ascii="Verdana" w:hAnsi="Verdana"/>
                <w:sz w:val="20"/>
                <w:szCs w:val="20"/>
              </w:rPr>
            </w:pPr>
            <w:r w:rsidRPr="0075325D">
              <w:rPr>
                <w:rFonts w:ascii="Verdana" w:hAnsi="Verdana"/>
                <w:sz w:val="20"/>
                <w:szCs w:val="20"/>
              </w:rPr>
              <w:t>Remuneration of the Supervisory Board members shall be determined in a fixed amount.</w:t>
            </w:r>
          </w:p>
          <w:p w14:paraId="47C3B84B" w14:textId="6A84B827" w:rsidR="00303431" w:rsidRDefault="00303431" w:rsidP="0075325D">
            <w:pPr>
              <w:pStyle w:val="ListParagraph"/>
              <w:spacing w:after="0"/>
              <w:ind w:left="442"/>
              <w:jc w:val="both"/>
              <w:rPr>
                <w:rFonts w:ascii="Verdana" w:hAnsi="Verdana"/>
                <w:sz w:val="20"/>
                <w:szCs w:val="20"/>
              </w:rPr>
            </w:pPr>
          </w:p>
          <w:p w14:paraId="00998F2E" w14:textId="77777777" w:rsidR="0003799F" w:rsidRPr="0075325D" w:rsidRDefault="0003799F" w:rsidP="0075325D">
            <w:pPr>
              <w:pStyle w:val="ListParagraph"/>
              <w:spacing w:after="0"/>
              <w:ind w:left="442"/>
              <w:jc w:val="both"/>
              <w:rPr>
                <w:rFonts w:ascii="Verdana" w:hAnsi="Verdana"/>
                <w:sz w:val="20"/>
                <w:szCs w:val="20"/>
              </w:rPr>
            </w:pPr>
          </w:p>
          <w:p w14:paraId="3A81F23C" w14:textId="77777777" w:rsidR="00303431" w:rsidRPr="0075325D" w:rsidRDefault="00303431" w:rsidP="0075325D">
            <w:pPr>
              <w:pStyle w:val="ListParagraph"/>
              <w:numPr>
                <w:ilvl w:val="1"/>
                <w:numId w:val="4"/>
              </w:numPr>
              <w:spacing w:after="0"/>
              <w:ind w:left="442" w:hanging="442"/>
              <w:jc w:val="both"/>
              <w:rPr>
                <w:rFonts w:ascii="Verdana" w:hAnsi="Verdana"/>
                <w:sz w:val="20"/>
                <w:szCs w:val="20"/>
              </w:rPr>
            </w:pPr>
            <w:r w:rsidRPr="0075325D">
              <w:rPr>
                <w:rFonts w:ascii="Verdana" w:hAnsi="Verdana"/>
                <w:sz w:val="20"/>
                <w:szCs w:val="20"/>
              </w:rPr>
              <w:t>The amount of fixed remuneration for membership in the Supervisory Board is formed based on the following facts:</w:t>
            </w:r>
          </w:p>
          <w:p w14:paraId="2636AB3C" w14:textId="77777777" w:rsidR="00303431" w:rsidRPr="0075325D" w:rsidRDefault="00303431" w:rsidP="0075325D">
            <w:pPr>
              <w:pStyle w:val="ListParagraph"/>
              <w:spacing w:after="0"/>
              <w:jc w:val="both"/>
              <w:rPr>
                <w:rFonts w:ascii="Verdana" w:hAnsi="Verdana"/>
                <w:sz w:val="20"/>
                <w:szCs w:val="20"/>
              </w:rPr>
            </w:pPr>
          </w:p>
          <w:p w14:paraId="1A53E28F" w14:textId="77777777" w:rsidR="00303431" w:rsidRPr="0075325D" w:rsidRDefault="00303431" w:rsidP="0075325D">
            <w:pPr>
              <w:pStyle w:val="ListParagraph"/>
              <w:numPr>
                <w:ilvl w:val="0"/>
                <w:numId w:val="3"/>
              </w:numPr>
              <w:spacing w:after="0"/>
              <w:ind w:left="763" w:hanging="284"/>
              <w:jc w:val="both"/>
              <w:rPr>
                <w:rFonts w:ascii="Verdana" w:hAnsi="Verdana"/>
                <w:sz w:val="20"/>
                <w:szCs w:val="20"/>
                <w:lang w:val="pl-PL"/>
              </w:rPr>
            </w:pPr>
            <w:r w:rsidRPr="0075325D">
              <w:rPr>
                <w:rFonts w:ascii="Verdana" w:hAnsi="Verdana"/>
                <w:sz w:val="20"/>
                <w:szCs w:val="20"/>
                <w:lang w:val="pl-PL"/>
              </w:rPr>
              <w:t>responsibilities and tasks of the Supervisory Board’s members;</w:t>
            </w:r>
          </w:p>
          <w:p w14:paraId="1F273F8C" w14:textId="77777777" w:rsidR="00303431" w:rsidRPr="0075325D" w:rsidRDefault="00303431" w:rsidP="0075325D">
            <w:pPr>
              <w:pStyle w:val="ListParagraph"/>
              <w:spacing w:after="0"/>
              <w:ind w:left="1026"/>
              <w:jc w:val="both"/>
              <w:rPr>
                <w:rFonts w:ascii="Verdana" w:hAnsi="Verdana"/>
                <w:sz w:val="20"/>
                <w:szCs w:val="20"/>
                <w:lang w:val="pl-PL"/>
              </w:rPr>
            </w:pPr>
          </w:p>
          <w:p w14:paraId="3FBDAF28" w14:textId="77777777" w:rsidR="00303431" w:rsidRPr="0075325D" w:rsidRDefault="00303431" w:rsidP="0075325D">
            <w:pPr>
              <w:pStyle w:val="ListParagraph"/>
              <w:numPr>
                <w:ilvl w:val="0"/>
                <w:numId w:val="3"/>
              </w:numPr>
              <w:spacing w:after="0"/>
              <w:ind w:left="763" w:hanging="284"/>
              <w:jc w:val="both"/>
              <w:rPr>
                <w:rFonts w:ascii="Verdana" w:hAnsi="Verdana"/>
                <w:sz w:val="20"/>
                <w:szCs w:val="20"/>
                <w:lang w:val="pl-PL"/>
              </w:rPr>
            </w:pPr>
            <w:r w:rsidRPr="0075325D">
              <w:rPr>
                <w:rFonts w:ascii="Verdana" w:hAnsi="Verdana"/>
                <w:sz w:val="20"/>
                <w:szCs w:val="20"/>
                <w:lang w:val="pl-PL"/>
              </w:rPr>
              <w:t>expected expertise and activity of the Supervisory Board’s members;</w:t>
            </w:r>
          </w:p>
          <w:p w14:paraId="6AF56E71" w14:textId="77777777" w:rsidR="00303431" w:rsidRPr="0075325D" w:rsidRDefault="00303431" w:rsidP="0075325D">
            <w:pPr>
              <w:pStyle w:val="ListParagraph"/>
              <w:spacing w:after="0"/>
              <w:ind w:left="763"/>
              <w:jc w:val="both"/>
              <w:rPr>
                <w:rFonts w:ascii="Verdana" w:hAnsi="Verdana"/>
                <w:sz w:val="20"/>
                <w:szCs w:val="20"/>
                <w:lang w:val="pl-PL"/>
              </w:rPr>
            </w:pPr>
          </w:p>
          <w:p w14:paraId="649AC7E1" w14:textId="77777777" w:rsidR="00303431" w:rsidRPr="0075325D" w:rsidRDefault="00303431" w:rsidP="0075325D">
            <w:pPr>
              <w:pStyle w:val="ListParagraph"/>
              <w:numPr>
                <w:ilvl w:val="0"/>
                <w:numId w:val="3"/>
              </w:numPr>
              <w:spacing w:after="0"/>
              <w:ind w:left="763" w:hanging="284"/>
              <w:jc w:val="both"/>
              <w:rPr>
                <w:rFonts w:ascii="Verdana" w:hAnsi="Verdana"/>
                <w:sz w:val="20"/>
                <w:szCs w:val="20"/>
                <w:lang w:val="pl-PL"/>
              </w:rPr>
            </w:pPr>
            <w:r w:rsidRPr="0075325D">
              <w:rPr>
                <w:rFonts w:ascii="Verdana" w:hAnsi="Verdana"/>
                <w:sz w:val="20"/>
                <w:szCs w:val="20"/>
                <w:lang w:val="pl-PL"/>
              </w:rPr>
              <w:t>invested time and effort of the Supervisory Board’s members as well as the expected results;</w:t>
            </w:r>
          </w:p>
          <w:p w14:paraId="20F2F30F" w14:textId="77777777" w:rsidR="00303431" w:rsidRPr="0075325D" w:rsidRDefault="00303431" w:rsidP="0075325D">
            <w:pPr>
              <w:pStyle w:val="ListParagraph"/>
              <w:spacing w:after="0"/>
              <w:ind w:left="763"/>
              <w:jc w:val="both"/>
              <w:rPr>
                <w:rFonts w:ascii="Verdana" w:hAnsi="Verdana"/>
                <w:sz w:val="20"/>
                <w:szCs w:val="20"/>
                <w:lang w:val="pl-PL"/>
              </w:rPr>
            </w:pPr>
          </w:p>
          <w:p w14:paraId="236344A4" w14:textId="77777777" w:rsidR="00303431" w:rsidRPr="0075325D" w:rsidRDefault="00303431" w:rsidP="0075325D">
            <w:pPr>
              <w:pStyle w:val="ListParagraph"/>
              <w:numPr>
                <w:ilvl w:val="0"/>
                <w:numId w:val="3"/>
              </w:numPr>
              <w:spacing w:after="0"/>
              <w:ind w:left="763" w:hanging="284"/>
              <w:jc w:val="both"/>
              <w:rPr>
                <w:rFonts w:ascii="Verdana" w:hAnsi="Verdana"/>
                <w:sz w:val="20"/>
                <w:szCs w:val="20"/>
                <w:lang w:val="pl-PL"/>
              </w:rPr>
            </w:pPr>
            <w:r w:rsidRPr="0075325D">
              <w:rPr>
                <w:rFonts w:ascii="Verdana" w:hAnsi="Verdana"/>
                <w:sz w:val="20"/>
                <w:szCs w:val="20"/>
                <w:lang w:val="pl-PL"/>
              </w:rPr>
              <w:t>complexity and size of the Company;</w:t>
            </w:r>
          </w:p>
          <w:p w14:paraId="324D1847" w14:textId="77777777" w:rsidR="00303431" w:rsidRPr="0075325D" w:rsidRDefault="00303431" w:rsidP="0075325D">
            <w:pPr>
              <w:pStyle w:val="ListParagraph"/>
              <w:spacing w:after="0"/>
              <w:ind w:left="763"/>
              <w:jc w:val="both"/>
              <w:rPr>
                <w:rFonts w:ascii="Verdana" w:hAnsi="Verdana"/>
                <w:sz w:val="20"/>
                <w:szCs w:val="20"/>
                <w:lang w:val="pl-PL"/>
              </w:rPr>
            </w:pPr>
          </w:p>
          <w:p w14:paraId="52A92752" w14:textId="59A766E8" w:rsidR="00303431" w:rsidRPr="0075325D" w:rsidRDefault="00303431" w:rsidP="0075325D">
            <w:pPr>
              <w:pStyle w:val="ListParagraph"/>
              <w:numPr>
                <w:ilvl w:val="0"/>
                <w:numId w:val="3"/>
              </w:numPr>
              <w:spacing w:after="0"/>
              <w:ind w:left="763" w:hanging="284"/>
              <w:jc w:val="both"/>
              <w:rPr>
                <w:rFonts w:ascii="Verdana" w:hAnsi="Verdana"/>
                <w:sz w:val="20"/>
                <w:szCs w:val="20"/>
                <w:lang w:val="pl-PL"/>
              </w:rPr>
            </w:pPr>
            <w:r w:rsidRPr="0075325D">
              <w:rPr>
                <w:rFonts w:ascii="Verdana" w:hAnsi="Verdana"/>
                <w:sz w:val="20"/>
                <w:szCs w:val="20"/>
                <w:lang w:val="pl-PL"/>
              </w:rPr>
              <w:t>financial position of the Company;</w:t>
            </w:r>
          </w:p>
          <w:p w14:paraId="3E56523A" w14:textId="77777777" w:rsidR="00303431" w:rsidRPr="0075325D" w:rsidRDefault="00303431" w:rsidP="0075325D">
            <w:pPr>
              <w:pStyle w:val="ListParagraph"/>
              <w:spacing w:after="0"/>
              <w:ind w:left="763"/>
              <w:jc w:val="both"/>
              <w:rPr>
                <w:rFonts w:ascii="Verdana" w:hAnsi="Verdana"/>
                <w:sz w:val="20"/>
                <w:szCs w:val="20"/>
                <w:lang w:val="pl-PL"/>
              </w:rPr>
            </w:pPr>
          </w:p>
          <w:p w14:paraId="109D41F5" w14:textId="77777777" w:rsidR="00303431" w:rsidRPr="0075325D" w:rsidRDefault="00303431" w:rsidP="0075325D">
            <w:pPr>
              <w:pStyle w:val="ListParagraph"/>
              <w:numPr>
                <w:ilvl w:val="0"/>
                <w:numId w:val="3"/>
              </w:numPr>
              <w:spacing w:after="0"/>
              <w:ind w:left="763" w:hanging="284"/>
              <w:jc w:val="both"/>
              <w:rPr>
                <w:rFonts w:ascii="Verdana" w:hAnsi="Verdana"/>
                <w:sz w:val="20"/>
                <w:szCs w:val="20"/>
                <w:lang w:val="pl-PL"/>
              </w:rPr>
            </w:pPr>
            <w:r w:rsidRPr="0075325D">
              <w:rPr>
                <w:rFonts w:ascii="Verdana" w:hAnsi="Verdana"/>
                <w:sz w:val="20"/>
                <w:szCs w:val="20"/>
                <w:lang w:val="pl-PL"/>
              </w:rPr>
              <w:t>economic environment with which the Company is surrounded;</w:t>
            </w:r>
          </w:p>
          <w:p w14:paraId="7BF80108" w14:textId="77777777" w:rsidR="00303431" w:rsidRPr="0075325D" w:rsidRDefault="00303431" w:rsidP="0075325D">
            <w:pPr>
              <w:pStyle w:val="ListParagraph"/>
              <w:spacing w:after="0"/>
              <w:ind w:left="763"/>
              <w:jc w:val="both"/>
              <w:rPr>
                <w:rFonts w:ascii="Verdana" w:hAnsi="Verdana"/>
                <w:sz w:val="20"/>
                <w:szCs w:val="20"/>
                <w:lang w:val="pl-PL"/>
              </w:rPr>
            </w:pPr>
          </w:p>
          <w:p w14:paraId="744C9679" w14:textId="77777777" w:rsidR="00303431" w:rsidRPr="0075325D" w:rsidRDefault="00303431" w:rsidP="0075325D">
            <w:pPr>
              <w:pStyle w:val="ListParagraph"/>
              <w:numPr>
                <w:ilvl w:val="0"/>
                <w:numId w:val="3"/>
              </w:numPr>
              <w:spacing w:after="0"/>
              <w:ind w:left="763" w:hanging="284"/>
              <w:jc w:val="both"/>
              <w:rPr>
                <w:rFonts w:ascii="Verdana" w:hAnsi="Verdana"/>
                <w:sz w:val="20"/>
                <w:szCs w:val="20"/>
                <w:lang w:val="pl-PL"/>
              </w:rPr>
            </w:pPr>
            <w:r w:rsidRPr="0075325D">
              <w:rPr>
                <w:rFonts w:ascii="Verdana" w:hAnsi="Verdana"/>
                <w:sz w:val="20"/>
                <w:szCs w:val="20"/>
                <w:lang w:val="pl-PL"/>
              </w:rPr>
              <w:t>assessment of the past work of the Supervisory Board’s members, as well as of the entire board;</w:t>
            </w:r>
          </w:p>
          <w:p w14:paraId="3935A8DA" w14:textId="77777777" w:rsidR="00303431" w:rsidRPr="0075325D" w:rsidRDefault="00303431" w:rsidP="0075325D">
            <w:pPr>
              <w:pStyle w:val="ListParagraph"/>
              <w:spacing w:after="0"/>
              <w:ind w:left="763"/>
              <w:jc w:val="both"/>
              <w:rPr>
                <w:rFonts w:ascii="Verdana" w:hAnsi="Verdana"/>
                <w:sz w:val="20"/>
                <w:szCs w:val="20"/>
                <w:lang w:val="pl-PL"/>
              </w:rPr>
            </w:pPr>
          </w:p>
          <w:p w14:paraId="5A9B87A3" w14:textId="77777777" w:rsidR="00303431" w:rsidRPr="0075325D" w:rsidRDefault="00303431" w:rsidP="0075325D">
            <w:pPr>
              <w:pStyle w:val="ListParagraph"/>
              <w:numPr>
                <w:ilvl w:val="0"/>
                <w:numId w:val="3"/>
              </w:numPr>
              <w:spacing w:after="0"/>
              <w:ind w:left="763" w:hanging="284"/>
              <w:jc w:val="both"/>
              <w:rPr>
                <w:rFonts w:ascii="Verdana" w:hAnsi="Verdana"/>
                <w:sz w:val="20"/>
                <w:szCs w:val="20"/>
                <w:lang w:val="pl-PL"/>
              </w:rPr>
            </w:pPr>
            <w:r w:rsidRPr="0075325D">
              <w:rPr>
                <w:rFonts w:ascii="Verdana" w:hAnsi="Verdana"/>
                <w:sz w:val="20"/>
                <w:szCs w:val="20"/>
                <w:lang w:val="pl-PL"/>
              </w:rPr>
              <w:t>and other circumstances significant for the work of the Supervisory Board.</w:t>
            </w:r>
          </w:p>
          <w:p w14:paraId="1BAF6D41" w14:textId="77777777" w:rsidR="00303431" w:rsidRPr="0075325D" w:rsidRDefault="00303431" w:rsidP="0075325D">
            <w:pPr>
              <w:pStyle w:val="ListParagraph"/>
              <w:spacing w:after="0"/>
              <w:ind w:left="810"/>
              <w:jc w:val="both"/>
              <w:rPr>
                <w:rFonts w:ascii="Verdana" w:hAnsi="Verdana"/>
                <w:sz w:val="20"/>
                <w:szCs w:val="20"/>
              </w:rPr>
            </w:pPr>
          </w:p>
          <w:p w14:paraId="33FF25D0" w14:textId="73BFF6F2" w:rsidR="00303431" w:rsidRPr="0075325D" w:rsidRDefault="00303431" w:rsidP="0075325D">
            <w:pPr>
              <w:pStyle w:val="ListParagraph"/>
              <w:numPr>
                <w:ilvl w:val="1"/>
                <w:numId w:val="4"/>
              </w:numPr>
              <w:spacing w:after="0"/>
              <w:ind w:left="532" w:hanging="532"/>
              <w:jc w:val="both"/>
              <w:rPr>
                <w:rFonts w:ascii="Verdana" w:hAnsi="Verdana"/>
                <w:sz w:val="20"/>
                <w:szCs w:val="20"/>
              </w:rPr>
            </w:pPr>
            <w:r w:rsidRPr="0075325D">
              <w:rPr>
                <w:rFonts w:ascii="Verdana" w:hAnsi="Verdana"/>
                <w:sz w:val="20"/>
                <w:szCs w:val="20"/>
              </w:rPr>
              <w:t>Each member of the Supervisory Board shall be paid the monthly fixed amount for its membership in the Supervisory Board in the net amount equal to the minimum net salary in the Republic of Serbia for a month for which the payment is made.</w:t>
            </w:r>
          </w:p>
          <w:p w14:paraId="5E5A762D" w14:textId="77777777" w:rsidR="00303431" w:rsidRPr="0075325D" w:rsidRDefault="00303431" w:rsidP="0075325D">
            <w:pPr>
              <w:pStyle w:val="ListParagraph"/>
              <w:spacing w:after="0"/>
              <w:ind w:left="532"/>
              <w:jc w:val="both"/>
              <w:rPr>
                <w:rFonts w:ascii="Verdana" w:hAnsi="Verdana"/>
                <w:sz w:val="20"/>
                <w:szCs w:val="20"/>
              </w:rPr>
            </w:pPr>
          </w:p>
          <w:p w14:paraId="4F747F7A" w14:textId="377CB322" w:rsidR="00303431" w:rsidRPr="0075325D" w:rsidRDefault="00303431" w:rsidP="0075325D">
            <w:pPr>
              <w:pStyle w:val="ListParagraph"/>
              <w:numPr>
                <w:ilvl w:val="1"/>
                <w:numId w:val="4"/>
              </w:numPr>
              <w:spacing w:after="0"/>
              <w:ind w:left="532" w:hanging="532"/>
              <w:jc w:val="both"/>
              <w:rPr>
                <w:rFonts w:ascii="Verdana" w:hAnsi="Verdana"/>
                <w:sz w:val="20"/>
                <w:szCs w:val="20"/>
              </w:rPr>
            </w:pPr>
            <w:r w:rsidRPr="0075325D">
              <w:rPr>
                <w:rFonts w:ascii="Verdana" w:hAnsi="Verdana"/>
                <w:sz w:val="20"/>
                <w:szCs w:val="20"/>
              </w:rPr>
              <w:t>Based upon this Remunerations’ Policy the legal representatives shall conclude with the members of the Supervisory Board the agreements on regulation of mutual rights and obligations.</w:t>
            </w:r>
          </w:p>
          <w:p w14:paraId="3B721301" w14:textId="1C0C62DC" w:rsidR="00303431" w:rsidRPr="0075325D" w:rsidRDefault="00303431" w:rsidP="0075325D">
            <w:pPr>
              <w:spacing w:after="0"/>
              <w:jc w:val="both"/>
              <w:rPr>
                <w:rFonts w:ascii="Verdana" w:hAnsi="Verdana"/>
                <w:sz w:val="20"/>
                <w:szCs w:val="20"/>
              </w:rPr>
            </w:pPr>
          </w:p>
          <w:p w14:paraId="2DCF4B47" w14:textId="11700482" w:rsidR="00303431" w:rsidRDefault="00303431" w:rsidP="0075325D">
            <w:pPr>
              <w:spacing w:after="0"/>
              <w:jc w:val="both"/>
              <w:rPr>
                <w:rFonts w:ascii="Verdana" w:hAnsi="Verdana"/>
                <w:sz w:val="20"/>
                <w:szCs w:val="20"/>
              </w:rPr>
            </w:pPr>
          </w:p>
          <w:p w14:paraId="1169B98F" w14:textId="20005D9F" w:rsidR="0003799F" w:rsidRDefault="0003799F" w:rsidP="0075325D">
            <w:pPr>
              <w:spacing w:after="0"/>
              <w:jc w:val="both"/>
              <w:rPr>
                <w:rFonts w:ascii="Verdana" w:hAnsi="Verdana"/>
                <w:sz w:val="20"/>
                <w:szCs w:val="20"/>
              </w:rPr>
            </w:pPr>
          </w:p>
          <w:p w14:paraId="491458DB" w14:textId="2CA196F6" w:rsidR="0003799F" w:rsidRDefault="0003799F" w:rsidP="0075325D">
            <w:pPr>
              <w:spacing w:after="0"/>
              <w:jc w:val="both"/>
              <w:rPr>
                <w:rFonts w:ascii="Verdana" w:hAnsi="Verdana"/>
                <w:sz w:val="20"/>
                <w:szCs w:val="20"/>
              </w:rPr>
            </w:pPr>
          </w:p>
          <w:p w14:paraId="4E292732" w14:textId="1BD17C1D" w:rsidR="0003799F" w:rsidRDefault="0003799F" w:rsidP="0075325D">
            <w:pPr>
              <w:spacing w:after="0"/>
              <w:jc w:val="both"/>
              <w:rPr>
                <w:rFonts w:ascii="Verdana" w:hAnsi="Verdana"/>
                <w:sz w:val="20"/>
                <w:szCs w:val="20"/>
              </w:rPr>
            </w:pPr>
          </w:p>
          <w:p w14:paraId="4E931AEF" w14:textId="77777777" w:rsidR="0003799F" w:rsidRPr="0075325D" w:rsidRDefault="0003799F" w:rsidP="0075325D">
            <w:pPr>
              <w:spacing w:after="0"/>
              <w:jc w:val="both"/>
              <w:rPr>
                <w:rFonts w:ascii="Verdana" w:hAnsi="Verdana"/>
                <w:sz w:val="20"/>
                <w:szCs w:val="20"/>
              </w:rPr>
            </w:pPr>
          </w:p>
          <w:p w14:paraId="224FE3AF" w14:textId="7D00D756" w:rsidR="00303431" w:rsidRPr="0075325D" w:rsidRDefault="00303431" w:rsidP="0075325D">
            <w:pPr>
              <w:pStyle w:val="ListParagraph"/>
              <w:numPr>
                <w:ilvl w:val="0"/>
                <w:numId w:val="4"/>
              </w:numPr>
              <w:spacing w:after="0"/>
              <w:ind w:left="442" w:hanging="442"/>
              <w:jc w:val="both"/>
              <w:rPr>
                <w:rFonts w:ascii="Verdana" w:hAnsi="Verdana"/>
                <w:sz w:val="20"/>
                <w:szCs w:val="20"/>
              </w:rPr>
            </w:pPr>
            <w:r w:rsidRPr="0075325D">
              <w:rPr>
                <w:rFonts w:ascii="Verdana" w:hAnsi="Verdana"/>
                <w:b/>
                <w:sz w:val="20"/>
                <w:szCs w:val="20"/>
              </w:rPr>
              <w:t xml:space="preserve">SYSTEM OF THE REMUNERATION </w:t>
            </w:r>
            <w:r w:rsidR="0075325D">
              <w:rPr>
                <w:rFonts w:ascii="Verdana" w:hAnsi="Verdana"/>
                <w:b/>
                <w:sz w:val="20"/>
                <w:szCs w:val="20"/>
              </w:rPr>
              <w:t>FOR</w:t>
            </w:r>
            <w:r w:rsidRPr="0075325D">
              <w:rPr>
                <w:rFonts w:ascii="Verdana" w:hAnsi="Verdana"/>
                <w:b/>
                <w:sz w:val="20"/>
                <w:szCs w:val="20"/>
              </w:rPr>
              <w:t xml:space="preserve"> THE SUPERVISORY BOARD MEMBERS</w:t>
            </w:r>
          </w:p>
          <w:p w14:paraId="6DDE6DA3" w14:textId="77777777" w:rsidR="00303431" w:rsidRPr="0075325D" w:rsidRDefault="00303431" w:rsidP="0075325D">
            <w:pPr>
              <w:spacing w:after="0"/>
              <w:rPr>
                <w:rFonts w:ascii="Verdana" w:hAnsi="Verdana"/>
                <w:sz w:val="20"/>
                <w:szCs w:val="20"/>
              </w:rPr>
            </w:pPr>
          </w:p>
          <w:p w14:paraId="092107D8" w14:textId="75EE1DAB" w:rsidR="00303431" w:rsidRPr="0075325D" w:rsidRDefault="00303431" w:rsidP="0075325D">
            <w:pPr>
              <w:pStyle w:val="ListParagraph"/>
              <w:numPr>
                <w:ilvl w:val="1"/>
                <w:numId w:val="4"/>
              </w:numPr>
              <w:spacing w:after="0"/>
              <w:ind w:left="532" w:hanging="532"/>
              <w:jc w:val="both"/>
              <w:rPr>
                <w:rFonts w:ascii="Verdana" w:hAnsi="Verdana"/>
                <w:sz w:val="20"/>
                <w:szCs w:val="20"/>
              </w:rPr>
            </w:pPr>
            <w:r w:rsidRPr="0075325D">
              <w:rPr>
                <w:rFonts w:ascii="Verdana" w:hAnsi="Verdana"/>
                <w:sz w:val="20"/>
                <w:szCs w:val="20"/>
              </w:rPr>
              <w:t xml:space="preserve">Remuneration system has as its aim to motivate the members of the Executive Board </w:t>
            </w:r>
            <w:r w:rsidR="0075325D">
              <w:rPr>
                <w:rFonts w:ascii="Verdana" w:hAnsi="Verdana"/>
                <w:sz w:val="20"/>
                <w:szCs w:val="20"/>
              </w:rPr>
              <w:t>for</w:t>
            </w:r>
            <w:r w:rsidRPr="0075325D">
              <w:rPr>
                <w:rFonts w:ascii="Verdana" w:hAnsi="Verdana"/>
                <w:sz w:val="20"/>
                <w:szCs w:val="20"/>
              </w:rPr>
              <w:t xml:space="preserve"> active and responsible performance of their functions.</w:t>
            </w:r>
          </w:p>
          <w:p w14:paraId="5336A63C" w14:textId="77777777" w:rsidR="00303431" w:rsidRPr="0075325D" w:rsidRDefault="00303431" w:rsidP="0075325D">
            <w:pPr>
              <w:pStyle w:val="ListParagraph"/>
              <w:spacing w:after="0"/>
              <w:ind w:left="532"/>
              <w:jc w:val="both"/>
              <w:rPr>
                <w:rFonts w:ascii="Verdana" w:hAnsi="Verdana"/>
                <w:sz w:val="20"/>
                <w:szCs w:val="20"/>
              </w:rPr>
            </w:pPr>
          </w:p>
          <w:p w14:paraId="7294318C" w14:textId="3EB1DA05" w:rsidR="00303431" w:rsidRPr="0075325D" w:rsidRDefault="00303431" w:rsidP="0075325D">
            <w:pPr>
              <w:pStyle w:val="ListParagraph"/>
              <w:numPr>
                <w:ilvl w:val="1"/>
                <w:numId w:val="4"/>
              </w:numPr>
              <w:spacing w:after="0"/>
              <w:ind w:left="532" w:hanging="532"/>
              <w:jc w:val="both"/>
              <w:rPr>
                <w:rFonts w:ascii="Verdana" w:hAnsi="Verdana"/>
                <w:sz w:val="20"/>
                <w:szCs w:val="20"/>
              </w:rPr>
            </w:pPr>
            <w:r w:rsidRPr="0075325D">
              <w:rPr>
                <w:rFonts w:ascii="Verdana" w:hAnsi="Verdana"/>
                <w:sz w:val="20"/>
                <w:szCs w:val="20"/>
              </w:rPr>
              <w:t>The remuneration for the work of the members of the Executive Board shall be determined by the employment agreement or by agreement on regulation of mutual rights and obligations that the member of the Executive Board shall execute with the Supervisory Board, where the Supervisory Board, when determining the remuneration, shall consider the following:</w:t>
            </w:r>
          </w:p>
          <w:p w14:paraId="3A3DBB53" w14:textId="77777777" w:rsidR="00303431" w:rsidRPr="0075325D" w:rsidRDefault="00303431" w:rsidP="0075325D">
            <w:pPr>
              <w:pStyle w:val="ListParagraph"/>
              <w:spacing w:after="0"/>
              <w:ind w:left="532"/>
              <w:jc w:val="both"/>
              <w:rPr>
                <w:rFonts w:ascii="Verdana" w:hAnsi="Verdana"/>
                <w:sz w:val="20"/>
                <w:szCs w:val="20"/>
              </w:rPr>
            </w:pPr>
          </w:p>
          <w:p w14:paraId="6D48358B" w14:textId="77777777" w:rsidR="00303431" w:rsidRPr="0075325D" w:rsidRDefault="00303431" w:rsidP="0075325D">
            <w:pPr>
              <w:pStyle w:val="ListParagraph"/>
              <w:numPr>
                <w:ilvl w:val="0"/>
                <w:numId w:val="3"/>
              </w:numPr>
              <w:spacing w:after="0"/>
              <w:ind w:left="742" w:hanging="284"/>
              <w:jc w:val="both"/>
              <w:rPr>
                <w:rFonts w:ascii="Verdana" w:hAnsi="Verdana"/>
                <w:sz w:val="20"/>
                <w:szCs w:val="20"/>
                <w:lang w:val="pl-PL"/>
              </w:rPr>
            </w:pPr>
            <w:r w:rsidRPr="0075325D">
              <w:rPr>
                <w:rFonts w:ascii="Verdana" w:hAnsi="Verdana"/>
                <w:sz w:val="20"/>
                <w:szCs w:val="20"/>
                <w:lang w:val="pl-PL"/>
              </w:rPr>
              <w:t>responsibility and tasks of the Executive Board’s members;</w:t>
            </w:r>
          </w:p>
          <w:p w14:paraId="063AFFE6" w14:textId="77777777" w:rsidR="00303431" w:rsidRPr="0075325D" w:rsidRDefault="00303431" w:rsidP="0075325D">
            <w:pPr>
              <w:pStyle w:val="ListParagraph"/>
              <w:spacing w:after="0"/>
              <w:ind w:left="742"/>
              <w:jc w:val="both"/>
              <w:rPr>
                <w:rFonts w:ascii="Verdana" w:hAnsi="Verdana"/>
                <w:sz w:val="20"/>
                <w:szCs w:val="20"/>
                <w:lang w:val="pl-PL"/>
              </w:rPr>
            </w:pPr>
          </w:p>
          <w:p w14:paraId="2077CB56" w14:textId="77777777" w:rsidR="00303431" w:rsidRPr="0075325D" w:rsidRDefault="00303431" w:rsidP="0075325D">
            <w:pPr>
              <w:pStyle w:val="ListParagraph"/>
              <w:numPr>
                <w:ilvl w:val="0"/>
                <w:numId w:val="3"/>
              </w:numPr>
              <w:spacing w:after="0"/>
              <w:ind w:left="742" w:hanging="284"/>
              <w:jc w:val="both"/>
              <w:rPr>
                <w:rFonts w:ascii="Verdana" w:hAnsi="Verdana"/>
                <w:sz w:val="20"/>
                <w:szCs w:val="20"/>
                <w:lang w:val="pl-PL"/>
              </w:rPr>
            </w:pPr>
            <w:r w:rsidRPr="0075325D">
              <w:rPr>
                <w:rFonts w:ascii="Verdana" w:hAnsi="Verdana"/>
                <w:sz w:val="20"/>
                <w:szCs w:val="20"/>
                <w:lang w:val="pl-PL"/>
              </w:rPr>
              <w:t>expected expertise of the Executive Board’s members;</w:t>
            </w:r>
          </w:p>
          <w:p w14:paraId="2EC05F3C" w14:textId="77777777" w:rsidR="00303431" w:rsidRPr="0075325D" w:rsidRDefault="00303431" w:rsidP="0075325D">
            <w:pPr>
              <w:pStyle w:val="ListParagraph"/>
              <w:spacing w:after="0"/>
              <w:ind w:left="742"/>
              <w:jc w:val="both"/>
              <w:rPr>
                <w:rFonts w:ascii="Verdana" w:hAnsi="Verdana"/>
                <w:sz w:val="20"/>
                <w:szCs w:val="20"/>
                <w:lang w:val="pl-PL"/>
              </w:rPr>
            </w:pPr>
          </w:p>
          <w:p w14:paraId="25125518" w14:textId="77777777" w:rsidR="00303431" w:rsidRPr="0075325D" w:rsidRDefault="00303431" w:rsidP="0075325D">
            <w:pPr>
              <w:pStyle w:val="ListParagraph"/>
              <w:numPr>
                <w:ilvl w:val="0"/>
                <w:numId w:val="3"/>
              </w:numPr>
              <w:spacing w:after="0"/>
              <w:ind w:left="742" w:hanging="284"/>
              <w:jc w:val="both"/>
              <w:rPr>
                <w:rFonts w:ascii="Verdana" w:hAnsi="Verdana"/>
                <w:sz w:val="20"/>
                <w:szCs w:val="20"/>
                <w:lang w:val="pl-PL"/>
              </w:rPr>
            </w:pPr>
            <w:r w:rsidRPr="0075325D">
              <w:rPr>
                <w:rFonts w:ascii="Verdana" w:hAnsi="Verdana"/>
                <w:sz w:val="20"/>
                <w:szCs w:val="20"/>
                <w:lang w:val="pl-PL"/>
              </w:rPr>
              <w:t>invested time and effort of the Executive Board’s members as well as expected results;</w:t>
            </w:r>
          </w:p>
          <w:p w14:paraId="4B573A75" w14:textId="77777777" w:rsidR="00303431" w:rsidRPr="0075325D" w:rsidRDefault="00303431" w:rsidP="0075325D">
            <w:pPr>
              <w:pStyle w:val="ListParagraph"/>
              <w:spacing w:after="0"/>
              <w:ind w:left="742"/>
              <w:jc w:val="both"/>
              <w:rPr>
                <w:rFonts w:ascii="Verdana" w:hAnsi="Verdana"/>
                <w:sz w:val="20"/>
                <w:szCs w:val="20"/>
                <w:lang w:val="pl-PL"/>
              </w:rPr>
            </w:pPr>
          </w:p>
          <w:p w14:paraId="6C6A71F1" w14:textId="77777777" w:rsidR="00303431" w:rsidRPr="0075325D" w:rsidRDefault="00303431" w:rsidP="0075325D">
            <w:pPr>
              <w:pStyle w:val="ListParagraph"/>
              <w:numPr>
                <w:ilvl w:val="0"/>
                <w:numId w:val="3"/>
              </w:numPr>
              <w:spacing w:after="0"/>
              <w:ind w:left="742" w:hanging="284"/>
              <w:jc w:val="both"/>
              <w:rPr>
                <w:rFonts w:ascii="Verdana" w:hAnsi="Verdana"/>
                <w:sz w:val="20"/>
                <w:szCs w:val="20"/>
                <w:lang w:val="pl-PL"/>
              </w:rPr>
            </w:pPr>
            <w:r w:rsidRPr="0075325D">
              <w:rPr>
                <w:rFonts w:ascii="Verdana" w:hAnsi="Verdana"/>
                <w:sz w:val="20"/>
                <w:szCs w:val="20"/>
                <w:lang w:val="pl-PL"/>
              </w:rPr>
              <w:t>financial situation of the Company;</w:t>
            </w:r>
          </w:p>
          <w:p w14:paraId="4AA229C7" w14:textId="77777777" w:rsidR="00303431" w:rsidRPr="0075325D" w:rsidRDefault="00303431" w:rsidP="0075325D">
            <w:pPr>
              <w:pStyle w:val="ListParagraph"/>
              <w:spacing w:after="0"/>
              <w:ind w:left="742"/>
              <w:jc w:val="both"/>
              <w:rPr>
                <w:rFonts w:ascii="Verdana" w:hAnsi="Verdana"/>
                <w:sz w:val="20"/>
                <w:szCs w:val="20"/>
                <w:lang w:val="pl-PL"/>
              </w:rPr>
            </w:pPr>
          </w:p>
          <w:p w14:paraId="4A29A19E" w14:textId="77777777" w:rsidR="00303431" w:rsidRPr="0075325D" w:rsidRDefault="00303431" w:rsidP="0075325D">
            <w:pPr>
              <w:pStyle w:val="ListParagraph"/>
              <w:numPr>
                <w:ilvl w:val="0"/>
                <w:numId w:val="3"/>
              </w:numPr>
              <w:spacing w:after="0"/>
              <w:ind w:left="742" w:hanging="284"/>
              <w:jc w:val="both"/>
              <w:rPr>
                <w:rFonts w:ascii="Verdana" w:hAnsi="Verdana"/>
                <w:sz w:val="20"/>
                <w:szCs w:val="20"/>
                <w:lang w:val="pl-PL"/>
              </w:rPr>
            </w:pPr>
            <w:r w:rsidRPr="0075325D">
              <w:rPr>
                <w:rFonts w:ascii="Verdana" w:hAnsi="Verdana"/>
                <w:sz w:val="20"/>
                <w:szCs w:val="20"/>
                <w:lang w:val="pl-PL"/>
              </w:rPr>
              <w:t>economic environment with which the Company is surrounded;</w:t>
            </w:r>
          </w:p>
          <w:p w14:paraId="3A29FA93" w14:textId="77777777" w:rsidR="00303431" w:rsidRPr="0075325D" w:rsidRDefault="00303431" w:rsidP="0075325D">
            <w:pPr>
              <w:pStyle w:val="ListParagraph"/>
              <w:spacing w:after="0"/>
              <w:ind w:left="742"/>
              <w:jc w:val="both"/>
              <w:rPr>
                <w:rFonts w:ascii="Verdana" w:hAnsi="Verdana"/>
                <w:sz w:val="20"/>
                <w:szCs w:val="20"/>
                <w:lang w:val="pl-PL"/>
              </w:rPr>
            </w:pPr>
          </w:p>
          <w:p w14:paraId="777E9A83" w14:textId="77777777" w:rsidR="00303431" w:rsidRPr="0075325D" w:rsidRDefault="00303431" w:rsidP="0075325D">
            <w:pPr>
              <w:pStyle w:val="ListParagraph"/>
              <w:numPr>
                <w:ilvl w:val="0"/>
                <w:numId w:val="3"/>
              </w:numPr>
              <w:spacing w:after="0"/>
              <w:ind w:left="742" w:hanging="284"/>
              <w:jc w:val="both"/>
              <w:rPr>
                <w:rFonts w:ascii="Verdana" w:hAnsi="Verdana"/>
                <w:sz w:val="20"/>
                <w:szCs w:val="20"/>
                <w:lang w:val="pl-PL"/>
              </w:rPr>
            </w:pPr>
            <w:r w:rsidRPr="0075325D">
              <w:rPr>
                <w:rFonts w:ascii="Verdana" w:hAnsi="Verdana"/>
                <w:sz w:val="20"/>
                <w:szCs w:val="20"/>
                <w:lang w:val="pl-PL"/>
              </w:rPr>
              <w:t>assessment of the past work of the Executive Board’s members, as well as of the entire Board;</w:t>
            </w:r>
          </w:p>
          <w:p w14:paraId="4EFA8DDF" w14:textId="77777777" w:rsidR="00303431" w:rsidRPr="0075325D" w:rsidRDefault="00303431" w:rsidP="0075325D">
            <w:pPr>
              <w:pStyle w:val="ListParagraph"/>
              <w:spacing w:after="0"/>
              <w:rPr>
                <w:rFonts w:ascii="Verdana" w:hAnsi="Verdana"/>
                <w:sz w:val="20"/>
                <w:szCs w:val="20"/>
              </w:rPr>
            </w:pPr>
          </w:p>
          <w:p w14:paraId="0B69C8E7" w14:textId="588A901E" w:rsidR="00303431" w:rsidRPr="0075325D" w:rsidRDefault="006343B0" w:rsidP="0075325D">
            <w:pPr>
              <w:pStyle w:val="ListParagraph"/>
              <w:numPr>
                <w:ilvl w:val="1"/>
                <w:numId w:val="4"/>
              </w:numPr>
              <w:spacing w:after="0"/>
              <w:ind w:left="479" w:hanging="479"/>
              <w:jc w:val="both"/>
              <w:rPr>
                <w:rFonts w:ascii="Verdana" w:hAnsi="Verdana"/>
                <w:sz w:val="20"/>
                <w:szCs w:val="20"/>
              </w:rPr>
            </w:pPr>
            <w:r w:rsidRPr="0075325D">
              <w:rPr>
                <w:rFonts w:ascii="Verdana" w:hAnsi="Verdana"/>
                <w:sz w:val="20"/>
                <w:szCs w:val="20"/>
              </w:rPr>
              <w:t xml:space="preserve">Members of the Executive Board may be entitled to salaries based on contributions to the business success of the Company (awards, bonuses, etc.) and to any other income in accordance with the Labor Law, employment agreement or agreements on mutual rights and </w:t>
            </w:r>
            <w:r w:rsidRPr="0075325D">
              <w:rPr>
                <w:rFonts w:ascii="Verdana" w:hAnsi="Verdana"/>
                <w:sz w:val="20"/>
                <w:szCs w:val="20"/>
              </w:rPr>
              <w:lastRenderedPageBreak/>
              <w:t xml:space="preserve">obligations and the decision of the Supervisory Board. </w:t>
            </w:r>
          </w:p>
          <w:p w14:paraId="5316CFAB" w14:textId="77777777" w:rsidR="006343B0" w:rsidRPr="0075325D" w:rsidRDefault="006343B0" w:rsidP="0075325D">
            <w:pPr>
              <w:pStyle w:val="ListParagraph"/>
              <w:spacing w:after="0"/>
              <w:ind w:left="479"/>
              <w:jc w:val="both"/>
              <w:rPr>
                <w:rFonts w:ascii="Verdana" w:hAnsi="Verdana"/>
                <w:sz w:val="20"/>
                <w:szCs w:val="20"/>
              </w:rPr>
            </w:pPr>
          </w:p>
          <w:p w14:paraId="744CF6B2" w14:textId="77777777" w:rsidR="00303431" w:rsidRPr="0075325D" w:rsidRDefault="00303431" w:rsidP="0075325D">
            <w:pPr>
              <w:pStyle w:val="ListParagraph"/>
              <w:numPr>
                <w:ilvl w:val="0"/>
                <w:numId w:val="4"/>
              </w:numPr>
              <w:spacing w:after="0"/>
              <w:ind w:left="442" w:hanging="442"/>
              <w:jc w:val="both"/>
              <w:rPr>
                <w:rFonts w:ascii="Verdana" w:hAnsi="Verdana"/>
                <w:b/>
                <w:sz w:val="20"/>
                <w:szCs w:val="20"/>
              </w:rPr>
            </w:pPr>
            <w:r w:rsidRPr="0075325D">
              <w:rPr>
                <w:rFonts w:ascii="Verdana" w:hAnsi="Verdana"/>
                <w:b/>
                <w:sz w:val="20"/>
                <w:szCs w:val="20"/>
              </w:rPr>
              <w:t>FINAL PROVISIONS</w:t>
            </w:r>
          </w:p>
          <w:p w14:paraId="47A0EE05" w14:textId="77777777" w:rsidR="00303431" w:rsidRPr="0075325D" w:rsidRDefault="00303431" w:rsidP="0075325D">
            <w:pPr>
              <w:pStyle w:val="ListParagraph"/>
              <w:spacing w:after="0"/>
              <w:jc w:val="both"/>
              <w:rPr>
                <w:rFonts w:ascii="Verdana" w:hAnsi="Verdana"/>
                <w:b/>
                <w:sz w:val="20"/>
                <w:szCs w:val="20"/>
              </w:rPr>
            </w:pPr>
          </w:p>
          <w:p w14:paraId="03D80A44" w14:textId="25212512" w:rsidR="00303431" w:rsidRPr="0075325D" w:rsidRDefault="00303431" w:rsidP="0075325D">
            <w:pPr>
              <w:pStyle w:val="ListParagraph"/>
              <w:numPr>
                <w:ilvl w:val="1"/>
                <w:numId w:val="4"/>
              </w:numPr>
              <w:spacing w:after="0"/>
              <w:ind w:left="479" w:hanging="479"/>
              <w:jc w:val="both"/>
              <w:rPr>
                <w:rFonts w:ascii="Verdana" w:hAnsi="Verdana"/>
                <w:sz w:val="20"/>
                <w:szCs w:val="20"/>
              </w:rPr>
            </w:pPr>
            <w:r w:rsidRPr="0075325D">
              <w:rPr>
                <w:rFonts w:ascii="Verdana" w:hAnsi="Verdana"/>
                <w:sz w:val="20"/>
                <w:szCs w:val="20"/>
              </w:rPr>
              <w:t xml:space="preserve">The Remuneration Policy shall be the subject of periodical reassessment, </w:t>
            </w:r>
            <w:r w:rsidR="006343B0" w:rsidRPr="0075325D">
              <w:rPr>
                <w:rFonts w:ascii="Verdana" w:hAnsi="Verdana"/>
                <w:i/>
                <w:sz w:val="20"/>
                <w:szCs w:val="20"/>
              </w:rPr>
              <w:t>i.e.,</w:t>
            </w:r>
            <w:r w:rsidRPr="0075325D">
              <w:rPr>
                <w:rFonts w:ascii="Verdana" w:hAnsi="Verdana"/>
                <w:sz w:val="20"/>
                <w:szCs w:val="20"/>
              </w:rPr>
              <w:t xml:space="preserve"> harmonization with the needs, </w:t>
            </w:r>
            <w:r w:rsidR="00302BCA" w:rsidRPr="0075325D">
              <w:rPr>
                <w:rFonts w:ascii="Verdana" w:hAnsi="Verdana"/>
                <w:sz w:val="20"/>
                <w:szCs w:val="20"/>
              </w:rPr>
              <w:t>opportunities,</w:t>
            </w:r>
            <w:r w:rsidRPr="0075325D">
              <w:rPr>
                <w:rFonts w:ascii="Verdana" w:hAnsi="Verdana"/>
                <w:sz w:val="20"/>
                <w:szCs w:val="20"/>
              </w:rPr>
              <w:t xml:space="preserve"> and interests of the Company.</w:t>
            </w:r>
          </w:p>
          <w:p w14:paraId="120E7B05" w14:textId="77777777" w:rsidR="00303431" w:rsidRPr="0075325D" w:rsidRDefault="00303431" w:rsidP="0075325D">
            <w:pPr>
              <w:pStyle w:val="ListParagraph"/>
              <w:spacing w:after="0"/>
              <w:jc w:val="both"/>
              <w:rPr>
                <w:rFonts w:ascii="Verdana" w:hAnsi="Verdana"/>
                <w:sz w:val="20"/>
                <w:szCs w:val="20"/>
              </w:rPr>
            </w:pPr>
          </w:p>
          <w:p w14:paraId="509217A7" w14:textId="41B8F8B0" w:rsidR="00303431" w:rsidRPr="0075325D" w:rsidRDefault="00303431" w:rsidP="0075325D">
            <w:pPr>
              <w:pStyle w:val="ListParagraph"/>
              <w:numPr>
                <w:ilvl w:val="1"/>
                <w:numId w:val="4"/>
              </w:numPr>
              <w:spacing w:after="0"/>
              <w:ind w:left="479" w:hanging="479"/>
              <w:jc w:val="both"/>
              <w:rPr>
                <w:rFonts w:ascii="Verdana" w:hAnsi="Verdana"/>
                <w:sz w:val="20"/>
                <w:szCs w:val="20"/>
              </w:rPr>
            </w:pPr>
            <w:r w:rsidRPr="0075325D">
              <w:rPr>
                <w:rFonts w:ascii="Verdana" w:hAnsi="Verdana"/>
                <w:sz w:val="20"/>
                <w:szCs w:val="20"/>
              </w:rPr>
              <w:t xml:space="preserve">The Remunerations’ Policy </w:t>
            </w:r>
            <w:r w:rsidR="006343B0" w:rsidRPr="0075325D">
              <w:rPr>
                <w:rFonts w:ascii="Verdana" w:hAnsi="Verdana"/>
                <w:sz w:val="20"/>
                <w:szCs w:val="20"/>
              </w:rPr>
              <w:t>is</w:t>
            </w:r>
            <w:r w:rsidRPr="0075325D">
              <w:rPr>
                <w:rFonts w:ascii="Verdana" w:hAnsi="Verdana"/>
                <w:sz w:val="20"/>
                <w:szCs w:val="20"/>
              </w:rPr>
              <w:t xml:space="preserve"> </w:t>
            </w:r>
            <w:r w:rsidR="006343B0" w:rsidRPr="0075325D">
              <w:rPr>
                <w:rFonts w:ascii="Verdana" w:hAnsi="Verdana"/>
                <w:sz w:val="20"/>
                <w:szCs w:val="20"/>
              </w:rPr>
              <w:t>amended</w:t>
            </w:r>
            <w:r w:rsidRPr="0075325D">
              <w:rPr>
                <w:rFonts w:ascii="Verdana" w:hAnsi="Verdana"/>
                <w:sz w:val="20"/>
                <w:szCs w:val="20"/>
              </w:rPr>
              <w:t xml:space="preserve"> by decision of the General Meeting of the Company.</w:t>
            </w:r>
          </w:p>
          <w:p w14:paraId="0FA23B49" w14:textId="77777777" w:rsidR="00303431" w:rsidRPr="0075325D" w:rsidRDefault="00303431" w:rsidP="0075325D">
            <w:pPr>
              <w:pStyle w:val="ListParagraph"/>
              <w:spacing w:after="0"/>
              <w:jc w:val="both"/>
              <w:rPr>
                <w:rFonts w:ascii="Verdana" w:hAnsi="Verdana"/>
                <w:sz w:val="20"/>
                <w:szCs w:val="20"/>
              </w:rPr>
            </w:pPr>
          </w:p>
          <w:p w14:paraId="5DC91C49" w14:textId="77777777" w:rsidR="00303431" w:rsidRPr="0075325D" w:rsidRDefault="00303431" w:rsidP="0075325D">
            <w:pPr>
              <w:pStyle w:val="ListParagraph"/>
              <w:numPr>
                <w:ilvl w:val="1"/>
                <w:numId w:val="4"/>
              </w:numPr>
              <w:spacing w:after="0"/>
              <w:jc w:val="both"/>
              <w:rPr>
                <w:rFonts w:ascii="Verdana" w:hAnsi="Verdana"/>
                <w:sz w:val="20"/>
                <w:szCs w:val="20"/>
              </w:rPr>
            </w:pPr>
            <w:r w:rsidRPr="0075325D">
              <w:rPr>
                <w:rFonts w:ascii="Verdana" w:hAnsi="Verdana"/>
                <w:sz w:val="20"/>
                <w:szCs w:val="20"/>
              </w:rPr>
              <w:t>This decision comes into force on the day of its rendering.</w:t>
            </w:r>
          </w:p>
          <w:p w14:paraId="074F0247" w14:textId="77777777" w:rsidR="00303431" w:rsidRPr="0075325D" w:rsidRDefault="00303431" w:rsidP="0075325D">
            <w:pPr>
              <w:spacing w:after="0"/>
              <w:jc w:val="both"/>
              <w:rPr>
                <w:rFonts w:ascii="Verdana" w:hAnsi="Verdana"/>
                <w:sz w:val="20"/>
                <w:szCs w:val="20"/>
              </w:rPr>
            </w:pPr>
          </w:p>
          <w:p w14:paraId="7D170487" w14:textId="77E00810" w:rsidR="00303431" w:rsidRDefault="0003799F" w:rsidP="0075325D">
            <w:pPr>
              <w:spacing w:after="0"/>
              <w:jc w:val="both"/>
              <w:rPr>
                <w:rFonts w:ascii="Verdana" w:hAnsi="Verdana"/>
                <w:sz w:val="20"/>
                <w:szCs w:val="20"/>
              </w:rPr>
            </w:pPr>
            <w:r>
              <w:rPr>
                <w:rFonts w:ascii="Verdana" w:hAnsi="Verdana"/>
                <w:sz w:val="20"/>
                <w:szCs w:val="20"/>
              </w:rPr>
              <w:t>In Apatin, on [</w:t>
            </w:r>
            <w:r w:rsidRPr="0003799F">
              <w:rPr>
                <w:rFonts w:ascii="Verdana" w:hAnsi="Verdana"/>
                <w:sz w:val="20"/>
                <w:szCs w:val="20"/>
                <w:highlight w:val="cyan"/>
              </w:rPr>
              <w:t>insert</w:t>
            </w:r>
            <w:r>
              <w:rPr>
                <w:rFonts w:ascii="Verdana" w:hAnsi="Verdana"/>
                <w:sz w:val="20"/>
                <w:szCs w:val="20"/>
              </w:rPr>
              <w:t>]</w:t>
            </w:r>
          </w:p>
          <w:p w14:paraId="739BDF57" w14:textId="38E84391" w:rsidR="0003799F" w:rsidRDefault="0003799F" w:rsidP="0075325D">
            <w:pPr>
              <w:spacing w:after="0"/>
              <w:jc w:val="both"/>
              <w:rPr>
                <w:rFonts w:ascii="Verdana" w:hAnsi="Verdana"/>
                <w:sz w:val="20"/>
                <w:szCs w:val="20"/>
              </w:rPr>
            </w:pPr>
          </w:p>
          <w:p w14:paraId="4174ED8A" w14:textId="77777777" w:rsidR="0003799F" w:rsidRPr="0075325D" w:rsidRDefault="0003799F" w:rsidP="0075325D">
            <w:pPr>
              <w:spacing w:after="0"/>
              <w:jc w:val="both"/>
              <w:rPr>
                <w:rFonts w:ascii="Verdana" w:hAnsi="Verdana"/>
                <w:sz w:val="20"/>
                <w:szCs w:val="20"/>
              </w:rPr>
            </w:pPr>
          </w:p>
          <w:p w14:paraId="7715ABB8" w14:textId="77777777" w:rsidR="00303431" w:rsidRPr="0075325D" w:rsidRDefault="00303431" w:rsidP="0075325D">
            <w:pPr>
              <w:spacing w:after="0"/>
              <w:jc w:val="both"/>
              <w:rPr>
                <w:rFonts w:ascii="Verdana" w:hAnsi="Verdana"/>
                <w:b/>
                <w:sz w:val="20"/>
                <w:szCs w:val="20"/>
              </w:rPr>
            </w:pPr>
            <w:r w:rsidRPr="0075325D">
              <w:rPr>
                <w:rFonts w:ascii="Verdana" w:hAnsi="Verdana"/>
                <w:b/>
                <w:sz w:val="20"/>
                <w:szCs w:val="20"/>
              </w:rPr>
              <w:t>CHAIRMAN OF THE GENERAL MEETING</w:t>
            </w:r>
          </w:p>
          <w:p w14:paraId="1569BBA4" w14:textId="70295585" w:rsidR="00303431" w:rsidRPr="0075325D" w:rsidRDefault="00303431" w:rsidP="0075325D">
            <w:pPr>
              <w:spacing w:after="0"/>
              <w:jc w:val="center"/>
              <w:rPr>
                <w:rFonts w:ascii="Verdana" w:hAnsi="Verdana"/>
                <w:b/>
                <w:sz w:val="20"/>
                <w:szCs w:val="20"/>
              </w:rPr>
            </w:pPr>
          </w:p>
          <w:p w14:paraId="7CC2CA7F" w14:textId="77777777" w:rsidR="006343B0" w:rsidRPr="0075325D" w:rsidRDefault="006343B0" w:rsidP="0075325D">
            <w:pPr>
              <w:spacing w:after="0"/>
              <w:jc w:val="center"/>
              <w:rPr>
                <w:rFonts w:ascii="Verdana" w:hAnsi="Verdana"/>
                <w:b/>
                <w:sz w:val="20"/>
                <w:szCs w:val="20"/>
              </w:rPr>
            </w:pPr>
          </w:p>
          <w:p w14:paraId="1450378E" w14:textId="77777777" w:rsidR="00303431" w:rsidRPr="0075325D" w:rsidRDefault="00303431" w:rsidP="0075325D">
            <w:pPr>
              <w:spacing w:after="0"/>
              <w:jc w:val="center"/>
              <w:rPr>
                <w:rFonts w:ascii="Verdana" w:hAnsi="Verdana"/>
                <w:b/>
                <w:sz w:val="20"/>
                <w:szCs w:val="20"/>
              </w:rPr>
            </w:pPr>
            <w:r w:rsidRPr="0075325D">
              <w:rPr>
                <w:rFonts w:ascii="Verdana" w:hAnsi="Verdana"/>
                <w:b/>
                <w:sz w:val="20"/>
                <w:szCs w:val="20"/>
              </w:rPr>
              <w:t>____________________________</w:t>
            </w:r>
          </w:p>
          <w:p w14:paraId="717025D7" w14:textId="77777777" w:rsidR="00305FBB" w:rsidRPr="00AB7C50" w:rsidRDefault="00305FBB" w:rsidP="00305FBB">
            <w:pPr>
              <w:jc w:val="center"/>
              <w:rPr>
                <w:rFonts w:ascii="Verdana" w:hAnsi="Verdana" w:cs="Arial"/>
                <w:b/>
                <w:bCs/>
                <w:sz w:val="20"/>
                <w:szCs w:val="20"/>
                <w:lang w:val="sr-Latn-RS"/>
              </w:rPr>
            </w:pPr>
            <w:r>
              <w:rPr>
                <w:rFonts w:ascii="Verdana" w:hAnsi="Verdana" w:cs="Arial"/>
                <w:b/>
                <w:bCs/>
                <w:sz w:val="20"/>
                <w:szCs w:val="20"/>
                <w:lang w:val="sr-Latn-RS"/>
              </w:rPr>
              <w:t>[●]</w:t>
            </w:r>
          </w:p>
          <w:p w14:paraId="4501CBDA" w14:textId="7E612FB5" w:rsidR="00303431" w:rsidRPr="0075325D" w:rsidRDefault="00303431" w:rsidP="0075325D">
            <w:pPr>
              <w:spacing w:after="0"/>
              <w:jc w:val="center"/>
              <w:rPr>
                <w:rFonts w:ascii="Verdana" w:hAnsi="Verdana"/>
                <w:sz w:val="20"/>
                <w:szCs w:val="20"/>
              </w:rPr>
            </w:pPr>
          </w:p>
        </w:tc>
      </w:tr>
    </w:tbl>
    <w:p w14:paraId="4D0E53E6" w14:textId="77777777" w:rsidR="00FA3A16" w:rsidRPr="0075325D" w:rsidRDefault="00FA3A16" w:rsidP="0075325D">
      <w:pPr>
        <w:spacing w:after="0"/>
        <w:rPr>
          <w:rFonts w:ascii="Verdana" w:hAnsi="Verdana"/>
          <w:sz w:val="20"/>
          <w:szCs w:val="20"/>
        </w:rPr>
      </w:pPr>
    </w:p>
    <w:sectPr w:rsidR="00FA3A16" w:rsidRPr="0075325D" w:rsidSect="0003799F">
      <w:footerReference w:type="default" r:id="rId7"/>
      <w:pgSz w:w="11906" w:h="16838"/>
      <w:pgMar w:top="1418"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FFEAB" w14:textId="77777777" w:rsidR="00397558" w:rsidRDefault="00397558" w:rsidP="00303431">
      <w:pPr>
        <w:spacing w:after="0" w:line="240" w:lineRule="auto"/>
      </w:pPr>
      <w:r>
        <w:separator/>
      </w:r>
    </w:p>
  </w:endnote>
  <w:endnote w:type="continuationSeparator" w:id="0">
    <w:p w14:paraId="4B97709F" w14:textId="77777777" w:rsidR="00397558" w:rsidRDefault="00397558" w:rsidP="0030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352952"/>
      <w:docPartObj>
        <w:docPartGallery w:val="Page Numbers (Bottom of Page)"/>
        <w:docPartUnique/>
      </w:docPartObj>
    </w:sdtPr>
    <w:sdtEndPr>
      <w:rPr>
        <w:rFonts w:ascii="Verdana" w:hAnsi="Verdana"/>
        <w:noProof/>
        <w:sz w:val="20"/>
        <w:szCs w:val="20"/>
      </w:rPr>
    </w:sdtEndPr>
    <w:sdtContent>
      <w:p w14:paraId="152EAF9A" w14:textId="73DF0C1B" w:rsidR="00303431" w:rsidRPr="00303431" w:rsidRDefault="00303431">
        <w:pPr>
          <w:pStyle w:val="Footer"/>
          <w:jc w:val="center"/>
          <w:rPr>
            <w:rFonts w:ascii="Verdana" w:hAnsi="Verdana"/>
            <w:sz w:val="20"/>
            <w:szCs w:val="20"/>
          </w:rPr>
        </w:pPr>
        <w:r w:rsidRPr="00303431">
          <w:rPr>
            <w:rFonts w:ascii="Verdana" w:hAnsi="Verdana"/>
            <w:sz w:val="20"/>
            <w:szCs w:val="20"/>
          </w:rPr>
          <w:fldChar w:fldCharType="begin"/>
        </w:r>
        <w:r w:rsidRPr="00303431">
          <w:rPr>
            <w:rFonts w:ascii="Verdana" w:hAnsi="Verdana"/>
            <w:sz w:val="20"/>
            <w:szCs w:val="20"/>
          </w:rPr>
          <w:instrText xml:space="preserve"> PAGE   \* MERGEFORMAT </w:instrText>
        </w:r>
        <w:r w:rsidRPr="00303431">
          <w:rPr>
            <w:rFonts w:ascii="Verdana" w:hAnsi="Verdana"/>
            <w:sz w:val="20"/>
            <w:szCs w:val="20"/>
          </w:rPr>
          <w:fldChar w:fldCharType="separate"/>
        </w:r>
        <w:r w:rsidRPr="00303431">
          <w:rPr>
            <w:rFonts w:ascii="Verdana" w:hAnsi="Verdana"/>
            <w:noProof/>
            <w:sz w:val="20"/>
            <w:szCs w:val="20"/>
          </w:rPr>
          <w:t>2</w:t>
        </w:r>
        <w:r w:rsidRPr="00303431">
          <w:rPr>
            <w:rFonts w:ascii="Verdana" w:hAnsi="Verdana"/>
            <w:noProof/>
            <w:sz w:val="20"/>
            <w:szCs w:val="20"/>
          </w:rPr>
          <w:fldChar w:fldCharType="end"/>
        </w:r>
      </w:p>
    </w:sdtContent>
  </w:sdt>
  <w:p w14:paraId="6B695956" w14:textId="77777777" w:rsidR="00303431" w:rsidRDefault="00303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502EC" w14:textId="77777777" w:rsidR="00397558" w:rsidRDefault="00397558" w:rsidP="00303431">
      <w:pPr>
        <w:spacing w:after="0" w:line="240" w:lineRule="auto"/>
      </w:pPr>
      <w:r>
        <w:separator/>
      </w:r>
    </w:p>
  </w:footnote>
  <w:footnote w:type="continuationSeparator" w:id="0">
    <w:p w14:paraId="7893CBC3" w14:textId="77777777" w:rsidR="00397558" w:rsidRDefault="00397558" w:rsidP="00303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3578A"/>
    <w:multiLevelType w:val="multilevel"/>
    <w:tmpl w:val="A16C2578"/>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86A6E99"/>
    <w:multiLevelType w:val="multilevel"/>
    <w:tmpl w:val="CAB29A06"/>
    <w:lvl w:ilvl="0">
      <w:start w:val="1"/>
      <w:numFmt w:val="upperRoman"/>
      <w:lvlText w:val="%1."/>
      <w:lvlJc w:val="left"/>
      <w:pPr>
        <w:ind w:left="720" w:hanging="72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4FCF6C66"/>
    <w:multiLevelType w:val="hybridMultilevel"/>
    <w:tmpl w:val="9BAA364C"/>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 w15:restartNumberingAfterBreak="0">
    <w:nsid w:val="53692D61"/>
    <w:multiLevelType w:val="multilevel"/>
    <w:tmpl w:val="40C2E6FE"/>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5AED0C37"/>
    <w:multiLevelType w:val="hybridMultilevel"/>
    <w:tmpl w:val="80827A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68F00143"/>
    <w:multiLevelType w:val="hybridMultilevel"/>
    <w:tmpl w:val="1BB0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FA9"/>
    <w:rsid w:val="0003799F"/>
    <w:rsid w:val="00086402"/>
    <w:rsid w:val="00093FC0"/>
    <w:rsid w:val="001204A3"/>
    <w:rsid w:val="00214732"/>
    <w:rsid w:val="00260F14"/>
    <w:rsid w:val="002F416F"/>
    <w:rsid w:val="00302BCA"/>
    <w:rsid w:val="00303431"/>
    <w:rsid w:val="00305FBB"/>
    <w:rsid w:val="003545A2"/>
    <w:rsid w:val="0038473C"/>
    <w:rsid w:val="00397558"/>
    <w:rsid w:val="004B6AEB"/>
    <w:rsid w:val="004C3B69"/>
    <w:rsid w:val="006317F6"/>
    <w:rsid w:val="006343B0"/>
    <w:rsid w:val="0075325D"/>
    <w:rsid w:val="007830E3"/>
    <w:rsid w:val="0079740F"/>
    <w:rsid w:val="00896B8D"/>
    <w:rsid w:val="00A715C2"/>
    <w:rsid w:val="00B47FA9"/>
    <w:rsid w:val="00D441F4"/>
    <w:rsid w:val="00D66380"/>
    <w:rsid w:val="00D7099B"/>
    <w:rsid w:val="00E74CBC"/>
    <w:rsid w:val="00F63C08"/>
    <w:rsid w:val="00F911FB"/>
    <w:rsid w:val="00FA2743"/>
    <w:rsid w:val="00FA3A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5CE8"/>
  <w15:chartTrackingRefBased/>
  <w15:docId w15:val="{11427CCB-B6B7-4353-B0C1-BBED8DEE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431"/>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3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03431"/>
    <w:pPr>
      <w:spacing w:after="0" w:line="240" w:lineRule="auto"/>
    </w:pPr>
    <w:rPr>
      <w:rFonts w:ascii="Calibri" w:eastAsia="Calibri" w:hAnsi="Calibri" w:cs="Times New Roman"/>
      <w:lang w:eastAsia="en-GB"/>
    </w:rPr>
  </w:style>
  <w:style w:type="paragraph" w:styleId="ListParagraph">
    <w:name w:val="List Paragraph"/>
    <w:basedOn w:val="Normal"/>
    <w:uiPriority w:val="34"/>
    <w:qFormat/>
    <w:rsid w:val="00303431"/>
    <w:pPr>
      <w:ind w:left="720"/>
      <w:contextualSpacing/>
    </w:pPr>
  </w:style>
  <w:style w:type="character" w:customStyle="1" w:styleId="NoSpacingChar">
    <w:name w:val="No Spacing Char"/>
    <w:link w:val="NoSpacing"/>
    <w:uiPriority w:val="1"/>
    <w:rsid w:val="00303431"/>
    <w:rPr>
      <w:rFonts w:ascii="Calibri" w:eastAsia="Calibri" w:hAnsi="Calibri" w:cs="Times New Roman"/>
      <w:lang w:eastAsia="en-GB"/>
    </w:rPr>
  </w:style>
  <w:style w:type="paragraph" w:styleId="Header">
    <w:name w:val="header"/>
    <w:basedOn w:val="Normal"/>
    <w:link w:val="HeaderChar"/>
    <w:uiPriority w:val="99"/>
    <w:unhideWhenUsed/>
    <w:rsid w:val="003034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431"/>
    <w:rPr>
      <w:rFonts w:ascii="Calibri" w:eastAsia="Calibri" w:hAnsi="Calibri" w:cs="Times New Roman"/>
      <w:lang w:val="en-US"/>
    </w:rPr>
  </w:style>
  <w:style w:type="paragraph" w:styleId="Footer">
    <w:name w:val="footer"/>
    <w:basedOn w:val="Normal"/>
    <w:link w:val="FooterChar"/>
    <w:uiPriority w:val="99"/>
    <w:unhideWhenUsed/>
    <w:rsid w:val="003034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43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MVJ</dc:creator>
  <cp:keywords/>
  <dc:description/>
  <cp:lastModifiedBy>MVJ</cp:lastModifiedBy>
  <cp:revision>7</cp:revision>
  <dcterms:created xsi:type="dcterms:W3CDTF">2021-05-19T20:06:00Z</dcterms:created>
  <dcterms:modified xsi:type="dcterms:W3CDTF">2021-05-21T11:29:00Z</dcterms:modified>
</cp:coreProperties>
</file>